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3E" w:rsidRDefault="00146540" w:rsidP="0042593E">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bookmarkStart w:id="0" w:name="_GoBack"/>
      <w:bookmarkEnd w:id="0"/>
    </w:p>
    <w:p w:rsidR="0042593E" w:rsidRDefault="0042593E" w:rsidP="0042593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ИСПОЛНЕНИЮ БЮДЖЕТА ЛЕВОКУМСКОГО МУНИЦИПАЛЬНОГО ОКРУГА</w:t>
      </w:r>
    </w:p>
    <w:p w:rsidR="0042593E" w:rsidRDefault="0042593E" w:rsidP="0042593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ЗА ПЕРВЫЙ КВАРТАЛ   2024 ГОДА</w:t>
      </w:r>
    </w:p>
    <w:p w:rsidR="0042593E" w:rsidRDefault="0042593E" w:rsidP="0042593E">
      <w:pPr>
        <w:pStyle w:val="ConsPlusNormal"/>
        <w:widowControl/>
        <w:ind w:firstLine="540"/>
        <w:jc w:val="both"/>
        <w:rPr>
          <w:rFonts w:ascii="Times New Roman" w:hAnsi="Times New Roman" w:cs="Times New Roman"/>
        </w:rPr>
      </w:pP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 первый </w:t>
      </w:r>
      <w:proofErr w:type="gramStart"/>
      <w:r>
        <w:rPr>
          <w:rFonts w:ascii="Times New Roman" w:hAnsi="Times New Roman" w:cs="Times New Roman"/>
          <w:sz w:val="28"/>
          <w:szCs w:val="28"/>
        </w:rPr>
        <w:t>квартал  2024</w:t>
      </w:r>
      <w:proofErr w:type="gramEnd"/>
      <w:r>
        <w:rPr>
          <w:rFonts w:ascii="Times New Roman" w:hAnsi="Times New Roman" w:cs="Times New Roman"/>
          <w:sz w:val="28"/>
          <w:szCs w:val="28"/>
        </w:rPr>
        <w:t xml:space="preserve"> года в бюджет Левокумского муниципального округа при уточненном плане на данный период 420 929,56 тыс. рублей поступило доходов 351 431,65 тыс. рублей, что на 69 497,91 тыс. рублей ниже плана отчетного периода. Плановые назначения по доходам обеспечены на 83,5 процента.</w:t>
      </w:r>
    </w:p>
    <w:p w:rsidR="0042593E" w:rsidRDefault="0042593E" w:rsidP="0042593E">
      <w:pPr>
        <w:shd w:val="clear" w:color="auto" w:fill="FFFFFF"/>
        <w:spacing w:line="317" w:lineRule="exact"/>
        <w:ind w:right="19" w:firstLine="691"/>
        <w:jc w:val="both"/>
        <w:rPr>
          <w:sz w:val="28"/>
          <w:szCs w:val="28"/>
        </w:rPr>
      </w:pPr>
      <w:r>
        <w:rPr>
          <w:spacing w:val="-12"/>
          <w:sz w:val="28"/>
          <w:szCs w:val="28"/>
        </w:rPr>
        <w:t xml:space="preserve">По сравнению с соответствующим отчетным периодом 2023 года снизились поступления доходов местного </w:t>
      </w:r>
      <w:proofErr w:type="gramStart"/>
      <w:r>
        <w:rPr>
          <w:spacing w:val="-10"/>
          <w:sz w:val="28"/>
          <w:szCs w:val="28"/>
        </w:rPr>
        <w:t>бюджета  на</w:t>
      </w:r>
      <w:proofErr w:type="gramEnd"/>
      <w:r>
        <w:rPr>
          <w:spacing w:val="-10"/>
          <w:sz w:val="28"/>
          <w:szCs w:val="28"/>
        </w:rPr>
        <w:t xml:space="preserve"> 15 673,81 тыс. рублей. Данное </w:t>
      </w:r>
      <w:proofErr w:type="gramStart"/>
      <w:r>
        <w:rPr>
          <w:spacing w:val="-10"/>
          <w:sz w:val="28"/>
          <w:szCs w:val="28"/>
        </w:rPr>
        <w:t xml:space="preserve">сокращение </w:t>
      </w:r>
      <w:r>
        <w:rPr>
          <w:spacing w:val="-8"/>
          <w:sz w:val="28"/>
          <w:szCs w:val="28"/>
        </w:rPr>
        <w:t xml:space="preserve"> обеспечено</w:t>
      </w:r>
      <w:proofErr w:type="gramEnd"/>
      <w:r>
        <w:rPr>
          <w:spacing w:val="-8"/>
          <w:sz w:val="28"/>
          <w:szCs w:val="28"/>
        </w:rPr>
        <w:t xml:space="preserve"> за счет снижения  б</w:t>
      </w:r>
      <w:r>
        <w:rPr>
          <w:sz w:val="28"/>
          <w:szCs w:val="28"/>
        </w:rPr>
        <w:t>езвозмездных поступлений на 34 603,13 тыс. рублей.</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 первый </w:t>
      </w:r>
      <w:proofErr w:type="gramStart"/>
      <w:r>
        <w:rPr>
          <w:rFonts w:ascii="Times New Roman" w:hAnsi="Times New Roman" w:cs="Times New Roman"/>
          <w:sz w:val="28"/>
          <w:szCs w:val="28"/>
        </w:rPr>
        <w:t>квартал  2024</w:t>
      </w:r>
      <w:proofErr w:type="gramEnd"/>
      <w:r>
        <w:rPr>
          <w:rFonts w:ascii="Times New Roman" w:hAnsi="Times New Roman" w:cs="Times New Roman"/>
          <w:sz w:val="28"/>
          <w:szCs w:val="28"/>
        </w:rPr>
        <w:t xml:space="preserve"> года фактическое поступление налоговых и неналоговых доходов в местный бюджет составило 64 422,92 тыс. рублей, что на 12 120,09 тыс. рублей выше плановых назначений за отчетный период. Контрольные показатели по сбору налоговых и неналоговых доходов обеспечены на 123,2 процента.</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Плановые назначения перевыполнены:</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налогу на доходы физических лиц на 132,1% (поступило 27104,28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20510,0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в абсолютной сумме + 6594,28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акцизам по подакцизным товарам на 101,6 % (поступило 4608,18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4535,25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sidRPr="00B04C9D">
        <w:rPr>
          <w:rFonts w:ascii="Times New Roman" w:hAnsi="Times New Roman" w:cs="Times New Roman"/>
          <w:sz w:val="28"/>
          <w:szCs w:val="28"/>
        </w:rPr>
        <w:t xml:space="preserve">- по налогу, взимаемому в связи с применением патентной системы налогообложения на </w:t>
      </w:r>
      <w:r>
        <w:rPr>
          <w:rFonts w:ascii="Times New Roman" w:hAnsi="Times New Roman" w:cs="Times New Roman"/>
          <w:sz w:val="28"/>
          <w:szCs w:val="28"/>
        </w:rPr>
        <w:t>869,5</w:t>
      </w:r>
      <w:r w:rsidRPr="00B04C9D">
        <w:rPr>
          <w:rFonts w:ascii="Times New Roman" w:hAnsi="Times New Roman" w:cs="Times New Roman"/>
          <w:sz w:val="28"/>
          <w:szCs w:val="28"/>
        </w:rPr>
        <w:t>% (поступило</w:t>
      </w:r>
      <w:r>
        <w:rPr>
          <w:rFonts w:ascii="Times New Roman" w:hAnsi="Times New Roman" w:cs="Times New Roman"/>
          <w:sz w:val="28"/>
          <w:szCs w:val="28"/>
        </w:rPr>
        <w:t xml:space="preserve"> 1739,11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200,0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налогу на имущество физических лиц на 304,9% (поступило 1372,22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450,0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земельному налогу на 122,8 % (поступило 3744,68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3050,0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государственной пошлине на 108,2% (поступило 973,59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900,0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color w:val="000000"/>
          <w:sz w:val="28"/>
          <w:szCs w:val="28"/>
        </w:rPr>
      </w:pPr>
      <w:r>
        <w:rPr>
          <w:rFonts w:ascii="Times New Roman" w:hAnsi="Times New Roman" w:cs="Times New Roman"/>
          <w:sz w:val="28"/>
          <w:szCs w:val="28"/>
        </w:rPr>
        <w:t xml:space="preserve">- по доходам, получаемым в виде арендной платы за земельные участки на 197,7% (поступило 7620,95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3855,0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доходам от имущества, находящегося в муниципальной собственности на 188,6 % (поступило 122,59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64,8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доходам от оказания платных услуг (работ) на 175,1% (поступило </w:t>
      </w:r>
      <w:proofErr w:type="gramStart"/>
      <w:r>
        <w:rPr>
          <w:rFonts w:ascii="Times New Roman" w:hAnsi="Times New Roman" w:cs="Times New Roman"/>
          <w:sz w:val="28"/>
          <w:szCs w:val="28"/>
        </w:rPr>
        <w:t>7647,57тыс.руб</w:t>
      </w:r>
      <w:proofErr w:type="gramEnd"/>
      <w:r>
        <w:rPr>
          <w:rFonts w:ascii="Times New Roman" w:hAnsi="Times New Roman" w:cs="Times New Roman"/>
          <w:sz w:val="28"/>
          <w:szCs w:val="28"/>
        </w:rPr>
        <w:t xml:space="preserve"> при плане 4367,5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 выполнены принятые плановые назначения:</w:t>
      </w:r>
    </w:p>
    <w:p w:rsidR="0042593E" w:rsidRDefault="0042593E" w:rsidP="0042593E">
      <w:pPr>
        <w:pStyle w:val="ConsPlusNormal"/>
        <w:widowControl/>
        <w:ind w:firstLine="540"/>
        <w:jc w:val="both"/>
        <w:rPr>
          <w:rFonts w:ascii="Times New Roman" w:hAnsi="Times New Roman" w:cs="Times New Roman"/>
          <w:sz w:val="28"/>
          <w:szCs w:val="28"/>
        </w:rPr>
      </w:pPr>
    </w:p>
    <w:p w:rsidR="0042593E" w:rsidRPr="00B04C9D"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 упрощенной системе налогообложения на 56,2 % (поступило 618,69</w:t>
      </w:r>
      <w:r w:rsidRPr="00B04C9D">
        <w:rPr>
          <w:rFonts w:ascii="Times New Roman" w:hAnsi="Times New Roman" w:cs="Times New Roman"/>
          <w:sz w:val="28"/>
          <w:szCs w:val="28"/>
        </w:rPr>
        <w:t xml:space="preserve"> </w:t>
      </w:r>
      <w:proofErr w:type="spellStart"/>
      <w:proofErr w:type="gramStart"/>
      <w:r w:rsidRPr="00B04C9D">
        <w:rPr>
          <w:rFonts w:ascii="Times New Roman" w:hAnsi="Times New Roman" w:cs="Times New Roman"/>
          <w:sz w:val="28"/>
          <w:szCs w:val="28"/>
        </w:rPr>
        <w:t>тыс.руб</w:t>
      </w:r>
      <w:proofErr w:type="spellEnd"/>
      <w:proofErr w:type="gramEnd"/>
      <w:r w:rsidRPr="00B04C9D">
        <w:rPr>
          <w:rFonts w:ascii="Times New Roman" w:hAnsi="Times New Roman" w:cs="Times New Roman"/>
          <w:sz w:val="28"/>
          <w:szCs w:val="28"/>
        </w:rPr>
        <w:t xml:space="preserve"> при плане </w:t>
      </w:r>
      <w:r>
        <w:rPr>
          <w:rFonts w:ascii="Times New Roman" w:hAnsi="Times New Roman" w:cs="Times New Roman"/>
          <w:sz w:val="28"/>
          <w:szCs w:val="28"/>
        </w:rPr>
        <w:t>1100,0</w:t>
      </w:r>
      <w:r w:rsidRPr="00B04C9D">
        <w:rPr>
          <w:rFonts w:ascii="Times New Roman" w:hAnsi="Times New Roman" w:cs="Times New Roman"/>
          <w:sz w:val="28"/>
          <w:szCs w:val="28"/>
        </w:rPr>
        <w:t xml:space="preserve"> </w:t>
      </w:r>
      <w:proofErr w:type="spellStart"/>
      <w:r w:rsidRPr="00B04C9D">
        <w:rPr>
          <w:rFonts w:ascii="Times New Roman" w:hAnsi="Times New Roman" w:cs="Times New Roman"/>
          <w:sz w:val="28"/>
          <w:szCs w:val="28"/>
        </w:rPr>
        <w:t>тыс.руб</w:t>
      </w:r>
      <w:proofErr w:type="spellEnd"/>
      <w:r w:rsidRPr="00B04C9D">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единому сельскохозяйственному налогу на 56,9% (поступило                         5009,10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8798,0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плате за негативное воздействие на окружающую </w:t>
      </w:r>
      <w:proofErr w:type="gramStart"/>
      <w:r>
        <w:rPr>
          <w:rFonts w:ascii="Times New Roman" w:hAnsi="Times New Roman" w:cs="Times New Roman"/>
          <w:sz w:val="28"/>
          <w:szCs w:val="28"/>
        </w:rPr>
        <w:t>среду  на</w:t>
      </w:r>
      <w:proofErr w:type="gramEnd"/>
      <w:r>
        <w:rPr>
          <w:rFonts w:ascii="Times New Roman" w:hAnsi="Times New Roman" w:cs="Times New Roman"/>
          <w:sz w:val="28"/>
          <w:szCs w:val="28"/>
        </w:rPr>
        <w:t xml:space="preserve"> 63,5% (поступило 1396,45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при плане 2200,0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штрафным санкциям на 90,5 </w:t>
      </w:r>
      <w:r>
        <w:rPr>
          <w:sz w:val="28"/>
          <w:szCs w:val="28"/>
        </w:rPr>
        <w:t>%</w:t>
      </w:r>
      <w:r>
        <w:rPr>
          <w:rFonts w:ascii="Times New Roman" w:hAnsi="Times New Roman" w:cs="Times New Roman"/>
          <w:sz w:val="28"/>
          <w:szCs w:val="28"/>
        </w:rPr>
        <w:t xml:space="preserve"> (поступило 1081,93 </w:t>
      </w:r>
      <w:proofErr w:type="spellStart"/>
      <w:proofErr w:type="gramStart"/>
      <w:r>
        <w:rPr>
          <w:rFonts w:ascii="Times New Roman" w:hAnsi="Times New Roman" w:cs="Times New Roman"/>
          <w:sz w:val="28"/>
          <w:szCs w:val="28"/>
        </w:rPr>
        <w:t>тыс.руб</w:t>
      </w:r>
      <w:proofErr w:type="spellEnd"/>
      <w:proofErr w:type="gramEnd"/>
      <w:r>
        <w:rPr>
          <w:rFonts w:ascii="Times New Roman" w:hAnsi="Times New Roman" w:cs="Times New Roman"/>
          <w:sz w:val="28"/>
          <w:szCs w:val="28"/>
        </w:rPr>
        <w:t xml:space="preserve"> при плане 1196,38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 прочим неналоговым </w:t>
      </w:r>
      <w:proofErr w:type="gramStart"/>
      <w:r>
        <w:rPr>
          <w:rFonts w:ascii="Times New Roman" w:hAnsi="Times New Roman" w:cs="Times New Roman"/>
          <w:sz w:val="28"/>
          <w:szCs w:val="28"/>
        </w:rPr>
        <w:t>доходам  на</w:t>
      </w:r>
      <w:proofErr w:type="gramEnd"/>
      <w:r>
        <w:rPr>
          <w:rFonts w:ascii="Times New Roman" w:hAnsi="Times New Roman" w:cs="Times New Roman"/>
          <w:sz w:val="28"/>
          <w:szCs w:val="28"/>
        </w:rPr>
        <w:t xml:space="preserve"> 62,2 </w:t>
      </w:r>
      <w:r>
        <w:rPr>
          <w:sz w:val="28"/>
          <w:szCs w:val="28"/>
        </w:rPr>
        <w:t>%</w:t>
      </w:r>
      <w:r>
        <w:rPr>
          <w:rFonts w:ascii="Times New Roman" w:hAnsi="Times New Roman" w:cs="Times New Roman"/>
          <w:sz w:val="28"/>
          <w:szCs w:val="28"/>
        </w:rPr>
        <w:t xml:space="preserve"> (поступило 669,19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при плане 1075,90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42593E" w:rsidRDefault="0042593E" w:rsidP="0042593E">
      <w:pPr>
        <w:ind w:firstLine="708"/>
        <w:jc w:val="both"/>
        <w:rPr>
          <w:b/>
          <w:sz w:val="28"/>
          <w:szCs w:val="28"/>
        </w:rPr>
      </w:pPr>
      <w:r>
        <w:rPr>
          <w:color w:val="000000"/>
          <w:sz w:val="28"/>
          <w:szCs w:val="28"/>
        </w:rPr>
        <w:t xml:space="preserve">Безвозмездные поступления в местном </w:t>
      </w:r>
      <w:r>
        <w:rPr>
          <w:sz w:val="28"/>
          <w:szCs w:val="28"/>
        </w:rPr>
        <w:t xml:space="preserve">бюджете на первый </w:t>
      </w:r>
      <w:proofErr w:type="gramStart"/>
      <w:r>
        <w:rPr>
          <w:sz w:val="28"/>
          <w:szCs w:val="28"/>
        </w:rPr>
        <w:t>квартал  2024</w:t>
      </w:r>
      <w:proofErr w:type="gramEnd"/>
      <w:r>
        <w:rPr>
          <w:sz w:val="28"/>
          <w:szCs w:val="28"/>
        </w:rPr>
        <w:t xml:space="preserve"> года предусмотрены в объеме 368 626,73 тыс. рублей. Кассовое исполнение составило 287 008,73 тыс. рублей, или 77,8 % к плановым назначениям.</w:t>
      </w:r>
    </w:p>
    <w:p w:rsidR="0042593E" w:rsidRDefault="0042593E" w:rsidP="0042593E">
      <w:pPr>
        <w:ind w:firstLine="360"/>
        <w:jc w:val="both"/>
        <w:rPr>
          <w:color w:val="000000"/>
          <w:sz w:val="28"/>
          <w:szCs w:val="28"/>
        </w:rPr>
      </w:pPr>
      <w:r>
        <w:rPr>
          <w:color w:val="000000"/>
          <w:sz w:val="28"/>
          <w:szCs w:val="28"/>
        </w:rPr>
        <w:t xml:space="preserve">Дотации бюджетам муниципальных </w:t>
      </w:r>
      <w:proofErr w:type="gramStart"/>
      <w:r>
        <w:rPr>
          <w:color w:val="000000"/>
          <w:sz w:val="28"/>
          <w:szCs w:val="28"/>
        </w:rPr>
        <w:t>округов  поступили</w:t>
      </w:r>
      <w:proofErr w:type="gramEnd"/>
      <w:r>
        <w:rPr>
          <w:color w:val="000000"/>
          <w:sz w:val="28"/>
          <w:szCs w:val="28"/>
        </w:rPr>
        <w:t xml:space="preserve"> в сумме 145 632,75 </w:t>
      </w:r>
      <w:proofErr w:type="spellStart"/>
      <w:r>
        <w:rPr>
          <w:color w:val="000000"/>
          <w:sz w:val="28"/>
          <w:szCs w:val="28"/>
        </w:rPr>
        <w:t>тыс.рублей</w:t>
      </w:r>
      <w:proofErr w:type="spellEnd"/>
      <w:r>
        <w:rPr>
          <w:color w:val="000000"/>
          <w:sz w:val="28"/>
          <w:szCs w:val="28"/>
        </w:rPr>
        <w:t xml:space="preserve">, которая была направлена на финансирование принятых расходных обязательств бюджета муниципального округа. Субсидии бюджетам муниципальных округов поступили в объеме 13 231,05 </w:t>
      </w:r>
      <w:proofErr w:type="spellStart"/>
      <w:proofErr w:type="gramStart"/>
      <w:r>
        <w:rPr>
          <w:color w:val="000000"/>
          <w:sz w:val="28"/>
          <w:szCs w:val="28"/>
        </w:rPr>
        <w:t>тыс.рублей</w:t>
      </w:r>
      <w:proofErr w:type="spellEnd"/>
      <w:proofErr w:type="gramEnd"/>
      <w:r>
        <w:rPr>
          <w:color w:val="000000"/>
          <w:sz w:val="28"/>
          <w:szCs w:val="28"/>
        </w:rPr>
        <w:t xml:space="preserve"> или 19,9 % от плановых назначений, субвенции в сумме 128 827,35 </w:t>
      </w:r>
      <w:proofErr w:type="spellStart"/>
      <w:r>
        <w:rPr>
          <w:color w:val="000000"/>
          <w:sz w:val="28"/>
          <w:szCs w:val="28"/>
        </w:rPr>
        <w:t>тыс.рублей</w:t>
      </w:r>
      <w:proofErr w:type="spellEnd"/>
      <w:r>
        <w:rPr>
          <w:color w:val="000000"/>
          <w:sz w:val="28"/>
          <w:szCs w:val="28"/>
        </w:rPr>
        <w:t xml:space="preserve"> что составляет 82,2 % от плановых показателей, иные межбюджетные трансферты поступили в местный бюджет в сумме 105,69 </w:t>
      </w:r>
      <w:proofErr w:type="spellStart"/>
      <w:r>
        <w:rPr>
          <w:color w:val="000000"/>
          <w:sz w:val="28"/>
          <w:szCs w:val="28"/>
        </w:rPr>
        <w:t>тыс.рублей</w:t>
      </w:r>
      <w:proofErr w:type="spellEnd"/>
      <w:r>
        <w:rPr>
          <w:color w:val="000000"/>
          <w:sz w:val="28"/>
          <w:szCs w:val="28"/>
        </w:rPr>
        <w:t xml:space="preserve"> или 88,8% о плановых назначений.</w:t>
      </w:r>
    </w:p>
    <w:p w:rsidR="0042593E" w:rsidRDefault="0042593E" w:rsidP="0042593E">
      <w:pPr>
        <w:ind w:firstLine="360"/>
        <w:jc w:val="both"/>
        <w:rPr>
          <w:color w:val="000000"/>
          <w:sz w:val="28"/>
          <w:szCs w:val="28"/>
        </w:rPr>
      </w:pPr>
      <w:r>
        <w:rPr>
          <w:color w:val="000000"/>
          <w:sz w:val="28"/>
          <w:szCs w:val="28"/>
        </w:rPr>
        <w:t xml:space="preserve">За счет средств краевого бюджета в бюджет муниципального округа не потупили средства на выполнение переданных </w:t>
      </w:r>
      <w:proofErr w:type="gramStart"/>
      <w:r>
        <w:rPr>
          <w:color w:val="000000"/>
          <w:sz w:val="28"/>
          <w:szCs w:val="28"/>
        </w:rPr>
        <w:t>полномочий  в</w:t>
      </w:r>
      <w:proofErr w:type="gramEnd"/>
      <w:r>
        <w:rPr>
          <w:color w:val="000000"/>
          <w:sz w:val="28"/>
          <w:szCs w:val="28"/>
        </w:rPr>
        <w:t xml:space="preserve"> объеме 80 938,32 </w:t>
      </w:r>
      <w:proofErr w:type="spellStart"/>
      <w:r>
        <w:rPr>
          <w:color w:val="000000"/>
          <w:sz w:val="28"/>
          <w:szCs w:val="28"/>
        </w:rPr>
        <w:t>тыс.рублей</w:t>
      </w:r>
      <w:proofErr w:type="spellEnd"/>
      <w:r>
        <w:rPr>
          <w:color w:val="000000"/>
          <w:sz w:val="28"/>
          <w:szCs w:val="28"/>
        </w:rPr>
        <w:t>:</w:t>
      </w:r>
    </w:p>
    <w:p w:rsidR="0042593E" w:rsidRPr="00020899" w:rsidRDefault="0042593E" w:rsidP="0042593E">
      <w:pPr>
        <w:ind w:firstLine="360"/>
        <w:jc w:val="both"/>
        <w:rPr>
          <w:sz w:val="28"/>
          <w:szCs w:val="28"/>
        </w:rPr>
      </w:pPr>
      <w:r w:rsidRPr="00020899">
        <w:rPr>
          <w:sz w:val="28"/>
          <w:szCs w:val="28"/>
        </w:rPr>
        <w:t xml:space="preserve">- на реализацию мероприятий по обеспечению жильем молодых семей в сумме </w:t>
      </w:r>
      <w:r>
        <w:rPr>
          <w:sz w:val="28"/>
          <w:szCs w:val="28"/>
        </w:rPr>
        <w:t>4 606,25</w:t>
      </w:r>
      <w:r w:rsidRPr="00020899">
        <w:rPr>
          <w:sz w:val="28"/>
          <w:szCs w:val="28"/>
        </w:rPr>
        <w:t xml:space="preserve"> </w:t>
      </w:r>
      <w:proofErr w:type="spellStart"/>
      <w:proofErr w:type="gramStart"/>
      <w:r w:rsidRPr="00020899">
        <w:rPr>
          <w:sz w:val="28"/>
          <w:szCs w:val="28"/>
        </w:rPr>
        <w:t>тыс.рублей</w:t>
      </w:r>
      <w:proofErr w:type="spellEnd"/>
      <w:proofErr w:type="gramEnd"/>
      <w:r w:rsidRPr="00020899">
        <w:rPr>
          <w:sz w:val="28"/>
          <w:szCs w:val="28"/>
        </w:rPr>
        <w:t>;</w:t>
      </w:r>
    </w:p>
    <w:p w:rsidR="0042593E" w:rsidRPr="00020899" w:rsidRDefault="0042593E" w:rsidP="0042593E">
      <w:pPr>
        <w:ind w:firstLine="360"/>
        <w:jc w:val="both"/>
        <w:rPr>
          <w:sz w:val="28"/>
          <w:szCs w:val="28"/>
        </w:rPr>
      </w:pPr>
      <w:r w:rsidRPr="00020899">
        <w:rPr>
          <w:sz w:val="28"/>
          <w:szCs w:val="28"/>
        </w:rPr>
        <w:t xml:space="preserve">- на поддержку отрасли культуры в сумме </w:t>
      </w:r>
      <w:r>
        <w:rPr>
          <w:sz w:val="28"/>
          <w:szCs w:val="28"/>
        </w:rPr>
        <w:t>2 798,65</w:t>
      </w:r>
      <w:r w:rsidRPr="00020899">
        <w:rPr>
          <w:sz w:val="28"/>
          <w:szCs w:val="28"/>
        </w:rPr>
        <w:t xml:space="preserve"> </w:t>
      </w:r>
      <w:proofErr w:type="spellStart"/>
      <w:proofErr w:type="gramStart"/>
      <w:r w:rsidRPr="00020899">
        <w:rPr>
          <w:sz w:val="28"/>
          <w:szCs w:val="28"/>
        </w:rPr>
        <w:t>тыс.рублей</w:t>
      </w:r>
      <w:proofErr w:type="spellEnd"/>
      <w:proofErr w:type="gramEnd"/>
      <w:r w:rsidRPr="00020899">
        <w:rPr>
          <w:sz w:val="28"/>
          <w:szCs w:val="28"/>
        </w:rPr>
        <w:t>;</w:t>
      </w:r>
    </w:p>
    <w:p w:rsidR="0042593E" w:rsidRPr="006650C1" w:rsidRDefault="0042593E" w:rsidP="0042593E">
      <w:pPr>
        <w:ind w:firstLine="360"/>
        <w:jc w:val="both"/>
        <w:rPr>
          <w:sz w:val="28"/>
          <w:szCs w:val="28"/>
        </w:rPr>
      </w:pPr>
      <w:r w:rsidRPr="006650C1">
        <w:rPr>
          <w:sz w:val="28"/>
          <w:szCs w:val="28"/>
        </w:rPr>
        <w:t xml:space="preserve">- на реализацию программ формирования современной городской среды в сумме </w:t>
      </w:r>
      <w:r>
        <w:rPr>
          <w:sz w:val="28"/>
          <w:szCs w:val="28"/>
        </w:rPr>
        <w:t>3 671,38</w:t>
      </w:r>
      <w:r w:rsidRPr="006650C1">
        <w:rPr>
          <w:sz w:val="28"/>
          <w:szCs w:val="28"/>
        </w:rPr>
        <w:t xml:space="preserve"> </w:t>
      </w:r>
      <w:proofErr w:type="spellStart"/>
      <w:proofErr w:type="gramStart"/>
      <w:r w:rsidRPr="006650C1">
        <w:rPr>
          <w:sz w:val="28"/>
          <w:szCs w:val="28"/>
        </w:rPr>
        <w:t>тыс.рублей</w:t>
      </w:r>
      <w:proofErr w:type="spellEnd"/>
      <w:proofErr w:type="gramEnd"/>
      <w:r w:rsidRPr="006650C1">
        <w:rPr>
          <w:sz w:val="28"/>
          <w:szCs w:val="28"/>
        </w:rPr>
        <w:t>.</w:t>
      </w:r>
    </w:p>
    <w:p w:rsidR="0042593E" w:rsidRPr="006650C1" w:rsidRDefault="0042593E" w:rsidP="0042593E">
      <w:pPr>
        <w:ind w:firstLine="360"/>
        <w:jc w:val="both"/>
        <w:rPr>
          <w:sz w:val="28"/>
          <w:szCs w:val="28"/>
        </w:rPr>
      </w:pPr>
      <w:r>
        <w:rPr>
          <w:sz w:val="28"/>
          <w:szCs w:val="28"/>
        </w:rPr>
        <w:t xml:space="preserve">- </w:t>
      </w:r>
      <w:r w:rsidRPr="006650C1">
        <w:rPr>
          <w:sz w:val="28"/>
          <w:szCs w:val="28"/>
        </w:rPr>
        <w:t xml:space="preserve">на обеспечение комплексного развития сельских территорий в сумме </w:t>
      </w:r>
      <w:proofErr w:type="gramStart"/>
      <w:r>
        <w:rPr>
          <w:sz w:val="28"/>
          <w:szCs w:val="28"/>
        </w:rPr>
        <w:t>500,0</w:t>
      </w:r>
      <w:r w:rsidRPr="006650C1">
        <w:rPr>
          <w:sz w:val="28"/>
          <w:szCs w:val="28"/>
        </w:rPr>
        <w:t>тыс.рублей</w:t>
      </w:r>
      <w:proofErr w:type="gramEnd"/>
      <w:r w:rsidRPr="006650C1">
        <w:rPr>
          <w:sz w:val="28"/>
          <w:szCs w:val="28"/>
        </w:rPr>
        <w:t>.</w:t>
      </w:r>
    </w:p>
    <w:p w:rsidR="0042593E" w:rsidRPr="006650C1" w:rsidRDefault="0042593E" w:rsidP="0042593E">
      <w:pPr>
        <w:ind w:firstLine="360"/>
        <w:jc w:val="both"/>
        <w:rPr>
          <w:sz w:val="28"/>
          <w:szCs w:val="28"/>
        </w:rPr>
      </w:pPr>
      <w:r>
        <w:rPr>
          <w:sz w:val="28"/>
          <w:szCs w:val="28"/>
        </w:rPr>
        <w:t xml:space="preserve">- </w:t>
      </w:r>
      <w:r w:rsidRPr="006650C1">
        <w:rPr>
          <w:sz w:val="28"/>
          <w:szCs w:val="28"/>
        </w:rPr>
        <w:t xml:space="preserve">на реконструкцию и капитальный ремонт региональных и муниципальных музеев в сумме </w:t>
      </w:r>
      <w:r>
        <w:rPr>
          <w:sz w:val="28"/>
          <w:szCs w:val="28"/>
        </w:rPr>
        <w:t>3 </w:t>
      </w:r>
      <w:proofErr w:type="gramStart"/>
      <w:r>
        <w:rPr>
          <w:sz w:val="28"/>
          <w:szCs w:val="28"/>
        </w:rPr>
        <w:t>619,47</w:t>
      </w:r>
      <w:r w:rsidRPr="006650C1">
        <w:rPr>
          <w:sz w:val="28"/>
          <w:szCs w:val="28"/>
        </w:rPr>
        <w:t>тыс.рублей</w:t>
      </w:r>
      <w:proofErr w:type="gramEnd"/>
      <w:r w:rsidRPr="006650C1">
        <w:rPr>
          <w:sz w:val="28"/>
          <w:szCs w:val="28"/>
        </w:rPr>
        <w:t>.</w:t>
      </w:r>
    </w:p>
    <w:p w:rsidR="0042593E" w:rsidRPr="006650C1" w:rsidRDefault="0042593E" w:rsidP="0042593E">
      <w:pPr>
        <w:ind w:firstLine="360"/>
        <w:jc w:val="both"/>
        <w:rPr>
          <w:sz w:val="28"/>
          <w:szCs w:val="28"/>
        </w:rPr>
      </w:pPr>
      <w:r>
        <w:rPr>
          <w:sz w:val="28"/>
          <w:szCs w:val="28"/>
        </w:rPr>
        <w:t xml:space="preserve">- на </w:t>
      </w:r>
      <w:r w:rsidRPr="006650C1">
        <w:rPr>
          <w:sz w:val="28"/>
          <w:szCs w:val="28"/>
        </w:rPr>
        <w:t xml:space="preserve">проведение капитального ремонта зданий и сооружений, благоустройство территории муниципальных учреждений культуры муниципальных образований в сумме </w:t>
      </w:r>
      <w:r>
        <w:rPr>
          <w:sz w:val="28"/>
          <w:szCs w:val="28"/>
        </w:rPr>
        <w:t xml:space="preserve">16 662,06 </w:t>
      </w:r>
      <w:proofErr w:type="spellStart"/>
      <w:proofErr w:type="gramStart"/>
      <w:r w:rsidRPr="006650C1">
        <w:rPr>
          <w:sz w:val="28"/>
          <w:szCs w:val="28"/>
        </w:rPr>
        <w:t>тыс.рублей</w:t>
      </w:r>
      <w:proofErr w:type="spellEnd"/>
      <w:proofErr w:type="gramEnd"/>
      <w:r w:rsidRPr="006650C1">
        <w:rPr>
          <w:sz w:val="28"/>
          <w:szCs w:val="28"/>
        </w:rPr>
        <w:t>.</w:t>
      </w:r>
    </w:p>
    <w:p w:rsidR="0042593E" w:rsidRPr="006650C1" w:rsidRDefault="0042593E" w:rsidP="0042593E">
      <w:pPr>
        <w:ind w:firstLine="360"/>
        <w:jc w:val="both"/>
        <w:rPr>
          <w:sz w:val="28"/>
          <w:szCs w:val="28"/>
        </w:rPr>
      </w:pPr>
      <w:r>
        <w:rPr>
          <w:sz w:val="28"/>
          <w:szCs w:val="28"/>
        </w:rPr>
        <w:t xml:space="preserve">- на </w:t>
      </w:r>
      <w:r w:rsidRPr="00797077">
        <w:rPr>
          <w:sz w:val="28"/>
          <w:szCs w:val="28"/>
        </w:rPr>
        <w:t>проведение ремонта, восстановление и реставрация наиболее значимых воинских захоронений, памятников и мемориальных комплексов, увековечивающих память погибших в го</w:t>
      </w:r>
      <w:r>
        <w:rPr>
          <w:sz w:val="28"/>
          <w:szCs w:val="28"/>
        </w:rPr>
        <w:t>ды Великой Отечественной войны</w:t>
      </w:r>
      <w:r w:rsidRPr="00797077">
        <w:rPr>
          <w:sz w:val="28"/>
          <w:szCs w:val="28"/>
        </w:rPr>
        <w:t xml:space="preserve"> </w:t>
      </w:r>
      <w:r w:rsidRPr="006650C1">
        <w:rPr>
          <w:sz w:val="28"/>
          <w:szCs w:val="28"/>
        </w:rPr>
        <w:t xml:space="preserve">в сумме </w:t>
      </w:r>
      <w:r>
        <w:rPr>
          <w:sz w:val="28"/>
          <w:szCs w:val="28"/>
        </w:rPr>
        <w:t xml:space="preserve">17 580,79 </w:t>
      </w:r>
      <w:proofErr w:type="spellStart"/>
      <w:proofErr w:type="gramStart"/>
      <w:r w:rsidRPr="006650C1">
        <w:rPr>
          <w:sz w:val="28"/>
          <w:szCs w:val="28"/>
        </w:rPr>
        <w:t>тыс.рублей</w:t>
      </w:r>
      <w:proofErr w:type="spellEnd"/>
      <w:proofErr w:type="gramEnd"/>
      <w:r w:rsidRPr="006650C1">
        <w:rPr>
          <w:sz w:val="28"/>
          <w:szCs w:val="28"/>
        </w:rPr>
        <w:t>.</w:t>
      </w:r>
    </w:p>
    <w:p w:rsidR="0042593E" w:rsidRPr="00797077" w:rsidRDefault="0042593E" w:rsidP="0042593E">
      <w:pPr>
        <w:ind w:firstLine="360"/>
        <w:jc w:val="both"/>
        <w:rPr>
          <w:color w:val="000000"/>
          <w:sz w:val="28"/>
          <w:szCs w:val="28"/>
        </w:rPr>
      </w:pPr>
    </w:p>
    <w:p w:rsidR="0042593E" w:rsidRPr="00592227" w:rsidRDefault="0042593E" w:rsidP="0042593E">
      <w:pPr>
        <w:ind w:firstLine="708"/>
        <w:jc w:val="both"/>
        <w:rPr>
          <w:b/>
          <w:sz w:val="28"/>
          <w:szCs w:val="28"/>
        </w:rPr>
      </w:pPr>
      <w:r w:rsidRPr="00592227">
        <w:rPr>
          <w:sz w:val="28"/>
          <w:szCs w:val="28"/>
        </w:rPr>
        <w:t xml:space="preserve">Задолженность по налоговым платежам в бюджет Левокумского муниципального </w:t>
      </w:r>
      <w:proofErr w:type="gramStart"/>
      <w:r w:rsidRPr="00592227">
        <w:rPr>
          <w:sz w:val="28"/>
          <w:szCs w:val="28"/>
        </w:rPr>
        <w:t>округа  по</w:t>
      </w:r>
      <w:proofErr w:type="gramEnd"/>
      <w:r w:rsidRPr="00592227">
        <w:rPr>
          <w:sz w:val="28"/>
          <w:szCs w:val="28"/>
        </w:rPr>
        <w:t xml:space="preserve"> данным МИФНС России № 6 по Ставропольскому краю по состоянию на 01.</w:t>
      </w:r>
      <w:r>
        <w:rPr>
          <w:sz w:val="28"/>
          <w:szCs w:val="28"/>
        </w:rPr>
        <w:t>04</w:t>
      </w:r>
      <w:r w:rsidRPr="00592227">
        <w:rPr>
          <w:sz w:val="28"/>
          <w:szCs w:val="28"/>
        </w:rPr>
        <w:t>.202</w:t>
      </w:r>
      <w:r>
        <w:rPr>
          <w:sz w:val="28"/>
          <w:szCs w:val="28"/>
        </w:rPr>
        <w:t>4</w:t>
      </w:r>
      <w:r w:rsidRPr="00592227">
        <w:rPr>
          <w:sz w:val="28"/>
          <w:szCs w:val="28"/>
        </w:rPr>
        <w:t xml:space="preserve"> года по местным налогам и сборам составила </w:t>
      </w:r>
      <w:r>
        <w:rPr>
          <w:sz w:val="28"/>
          <w:szCs w:val="28"/>
        </w:rPr>
        <w:t>34 174,35</w:t>
      </w:r>
      <w:r w:rsidRPr="00592227">
        <w:rPr>
          <w:sz w:val="28"/>
          <w:szCs w:val="28"/>
        </w:rPr>
        <w:t xml:space="preserve"> </w:t>
      </w:r>
      <w:proofErr w:type="spellStart"/>
      <w:r w:rsidRPr="00592227">
        <w:rPr>
          <w:sz w:val="28"/>
          <w:szCs w:val="28"/>
        </w:rPr>
        <w:t>тыс.рублей</w:t>
      </w:r>
      <w:proofErr w:type="spellEnd"/>
      <w:r w:rsidRPr="00592227">
        <w:rPr>
          <w:sz w:val="28"/>
          <w:szCs w:val="28"/>
        </w:rPr>
        <w:t xml:space="preserve">, В сравнении с началом финансового года  задолженность по налогам возросла на </w:t>
      </w:r>
      <w:r>
        <w:rPr>
          <w:sz w:val="28"/>
          <w:szCs w:val="28"/>
        </w:rPr>
        <w:t>4 767,01</w:t>
      </w:r>
      <w:r w:rsidRPr="00592227">
        <w:rPr>
          <w:sz w:val="28"/>
          <w:szCs w:val="28"/>
        </w:rPr>
        <w:t xml:space="preserve"> тыс. рублей. Наибольший рост задолженности сложился по налогу на доходы физических лиц – </w:t>
      </w:r>
      <w:r>
        <w:rPr>
          <w:sz w:val="28"/>
          <w:szCs w:val="28"/>
        </w:rPr>
        <w:t>4169,68</w:t>
      </w:r>
      <w:r w:rsidRPr="00592227">
        <w:rPr>
          <w:sz w:val="28"/>
          <w:szCs w:val="28"/>
        </w:rPr>
        <w:t xml:space="preserve"> </w:t>
      </w:r>
      <w:proofErr w:type="spellStart"/>
      <w:proofErr w:type="gramStart"/>
      <w:r w:rsidRPr="00592227">
        <w:rPr>
          <w:sz w:val="28"/>
          <w:szCs w:val="28"/>
        </w:rPr>
        <w:t>тыс.рублей</w:t>
      </w:r>
      <w:proofErr w:type="spellEnd"/>
      <w:proofErr w:type="gramEnd"/>
      <w:r w:rsidRPr="00592227">
        <w:rPr>
          <w:sz w:val="28"/>
          <w:szCs w:val="28"/>
        </w:rPr>
        <w:t xml:space="preserve">  и упрощенной системе налогообложения на </w:t>
      </w:r>
      <w:r>
        <w:rPr>
          <w:sz w:val="28"/>
          <w:szCs w:val="28"/>
        </w:rPr>
        <w:t>1612,8</w:t>
      </w:r>
      <w:r w:rsidRPr="00592227">
        <w:rPr>
          <w:sz w:val="28"/>
          <w:szCs w:val="28"/>
        </w:rPr>
        <w:t xml:space="preserve"> </w:t>
      </w:r>
      <w:proofErr w:type="spellStart"/>
      <w:r w:rsidRPr="00592227">
        <w:rPr>
          <w:sz w:val="28"/>
          <w:szCs w:val="28"/>
        </w:rPr>
        <w:t>тыс.рублей</w:t>
      </w:r>
      <w:proofErr w:type="spellEnd"/>
      <w:r>
        <w:rPr>
          <w:sz w:val="28"/>
          <w:szCs w:val="28"/>
        </w:rPr>
        <w:t xml:space="preserve"> и единому сельскохозяйственному налогу на 2079,68 </w:t>
      </w:r>
      <w:proofErr w:type="spellStart"/>
      <w:r>
        <w:rPr>
          <w:sz w:val="28"/>
          <w:szCs w:val="28"/>
        </w:rPr>
        <w:t>тыс.рублей</w:t>
      </w:r>
      <w:proofErr w:type="spellEnd"/>
      <w:r>
        <w:rPr>
          <w:sz w:val="28"/>
          <w:szCs w:val="28"/>
        </w:rPr>
        <w:t>.</w:t>
      </w:r>
      <w:r w:rsidRPr="00592227">
        <w:rPr>
          <w:sz w:val="28"/>
          <w:szCs w:val="28"/>
        </w:rPr>
        <w:t xml:space="preserve"> Снизилась </w:t>
      </w:r>
      <w:r w:rsidRPr="00592227">
        <w:rPr>
          <w:sz w:val="28"/>
          <w:szCs w:val="28"/>
        </w:rPr>
        <w:lastRenderedPageBreak/>
        <w:t xml:space="preserve">задолженность   налогу на имущество физических </w:t>
      </w:r>
      <w:proofErr w:type="gramStart"/>
      <w:r w:rsidRPr="00592227">
        <w:rPr>
          <w:sz w:val="28"/>
          <w:szCs w:val="28"/>
        </w:rPr>
        <w:t>лиц  –</w:t>
      </w:r>
      <w:proofErr w:type="gramEnd"/>
      <w:r w:rsidRPr="00592227">
        <w:rPr>
          <w:sz w:val="28"/>
          <w:szCs w:val="28"/>
        </w:rPr>
        <w:t xml:space="preserve"> </w:t>
      </w:r>
      <w:r>
        <w:rPr>
          <w:sz w:val="28"/>
          <w:szCs w:val="28"/>
        </w:rPr>
        <w:t>1200,26</w:t>
      </w:r>
      <w:r w:rsidRPr="00592227">
        <w:rPr>
          <w:sz w:val="28"/>
          <w:szCs w:val="28"/>
        </w:rPr>
        <w:t xml:space="preserve"> </w:t>
      </w:r>
      <w:proofErr w:type="spellStart"/>
      <w:r w:rsidRPr="00592227">
        <w:rPr>
          <w:sz w:val="28"/>
          <w:szCs w:val="28"/>
        </w:rPr>
        <w:t>тыс.рублей</w:t>
      </w:r>
      <w:proofErr w:type="spellEnd"/>
      <w:r w:rsidRPr="00592227">
        <w:rPr>
          <w:sz w:val="28"/>
          <w:szCs w:val="28"/>
        </w:rPr>
        <w:t xml:space="preserve"> и земельному налогу на </w:t>
      </w:r>
      <w:r>
        <w:rPr>
          <w:sz w:val="28"/>
          <w:szCs w:val="28"/>
        </w:rPr>
        <w:t>1569,9</w:t>
      </w:r>
      <w:r w:rsidRPr="00592227">
        <w:rPr>
          <w:sz w:val="28"/>
          <w:szCs w:val="28"/>
        </w:rPr>
        <w:t xml:space="preserve"> </w:t>
      </w:r>
      <w:proofErr w:type="spellStart"/>
      <w:r w:rsidRPr="00592227">
        <w:rPr>
          <w:sz w:val="28"/>
          <w:szCs w:val="28"/>
        </w:rPr>
        <w:t>тыс.рублей</w:t>
      </w:r>
      <w:proofErr w:type="spellEnd"/>
      <w:r w:rsidRPr="00592227">
        <w:rPr>
          <w:sz w:val="28"/>
          <w:szCs w:val="28"/>
        </w:rPr>
        <w:t xml:space="preserve">. </w:t>
      </w:r>
    </w:p>
    <w:p w:rsidR="0042593E" w:rsidRPr="00592227" w:rsidRDefault="0042593E" w:rsidP="0042593E">
      <w:pPr>
        <w:pStyle w:val="ConsPlusNormal"/>
        <w:widowControl/>
        <w:ind w:firstLine="540"/>
        <w:jc w:val="both"/>
        <w:rPr>
          <w:rFonts w:ascii="Times New Roman" w:hAnsi="Times New Roman" w:cs="Times New Roman"/>
          <w:sz w:val="28"/>
          <w:szCs w:val="28"/>
        </w:rPr>
      </w:pPr>
    </w:p>
    <w:p w:rsidR="0042593E" w:rsidRPr="00592227" w:rsidRDefault="0042593E" w:rsidP="0042593E">
      <w:pPr>
        <w:pStyle w:val="ConsPlusNormal"/>
        <w:widowControl/>
        <w:ind w:firstLine="540"/>
        <w:jc w:val="both"/>
        <w:rPr>
          <w:rFonts w:ascii="Times New Roman" w:hAnsi="Times New Roman" w:cs="Times New Roman"/>
        </w:rPr>
      </w:pPr>
    </w:p>
    <w:p w:rsidR="0042593E" w:rsidRDefault="0042593E" w:rsidP="0042593E">
      <w:pPr>
        <w:pStyle w:val="ConsPlusNormal"/>
        <w:widowControl/>
        <w:ind w:firstLine="540"/>
        <w:jc w:val="both"/>
      </w:pPr>
    </w:p>
    <w:p w:rsidR="0042593E" w:rsidRDefault="0042593E" w:rsidP="0042593E">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Расходы</w:t>
      </w:r>
    </w:p>
    <w:p w:rsidR="0042593E" w:rsidRDefault="0042593E" w:rsidP="0042593E">
      <w:pPr>
        <w:ind w:firstLine="709"/>
        <w:jc w:val="both"/>
        <w:rPr>
          <w:sz w:val="28"/>
          <w:szCs w:val="28"/>
        </w:rPr>
      </w:pPr>
    </w:p>
    <w:p w:rsidR="0042593E" w:rsidRDefault="0042593E" w:rsidP="0042593E">
      <w:pPr>
        <w:ind w:firstLine="709"/>
        <w:jc w:val="both"/>
        <w:rPr>
          <w:sz w:val="28"/>
          <w:szCs w:val="28"/>
        </w:rPr>
      </w:pPr>
      <w:r>
        <w:rPr>
          <w:sz w:val="28"/>
          <w:szCs w:val="28"/>
        </w:rPr>
        <w:t>С учетом внесенных изменений плановые назначения по расходам местного бюджета по состоянию на 01 апреля 2024 года составили 474 013,84тыс. рублей.</w:t>
      </w:r>
    </w:p>
    <w:p w:rsidR="0042593E" w:rsidRDefault="0042593E" w:rsidP="0042593E">
      <w:pPr>
        <w:ind w:firstLine="709"/>
        <w:jc w:val="both"/>
        <w:rPr>
          <w:sz w:val="28"/>
          <w:szCs w:val="28"/>
        </w:rPr>
      </w:pPr>
      <w:r>
        <w:rPr>
          <w:sz w:val="28"/>
          <w:szCs w:val="28"/>
        </w:rPr>
        <w:t>Кассовое исполнение по расходам местного бюджета за первый квартал 2024 года сложилось в сумме 321 352,90 тыс. рублей или 67,8</w:t>
      </w:r>
      <w:r>
        <w:rPr>
          <w:sz w:val="28"/>
          <w:szCs w:val="28"/>
          <w:lang w:val="en-US"/>
        </w:rPr>
        <w:t> </w:t>
      </w:r>
      <w:r>
        <w:rPr>
          <w:sz w:val="28"/>
          <w:szCs w:val="28"/>
        </w:rPr>
        <w:t>%</w:t>
      </w:r>
      <w:r>
        <w:rPr>
          <w:position w:val="2"/>
          <w:sz w:val="28"/>
          <w:szCs w:val="28"/>
        </w:rPr>
        <w:t xml:space="preserve"> к плановым назначениям за отчетный период</w:t>
      </w:r>
      <w:r>
        <w:rPr>
          <w:sz w:val="28"/>
          <w:szCs w:val="28"/>
        </w:rPr>
        <w:t>.</w:t>
      </w:r>
    </w:p>
    <w:p w:rsidR="0042593E" w:rsidRDefault="0042593E" w:rsidP="0042593E">
      <w:pPr>
        <w:ind w:firstLine="709"/>
        <w:jc w:val="both"/>
        <w:rPr>
          <w:sz w:val="28"/>
          <w:szCs w:val="28"/>
        </w:rPr>
      </w:pPr>
      <w:r>
        <w:rPr>
          <w:sz w:val="28"/>
          <w:szCs w:val="28"/>
        </w:rPr>
        <w:t>По состоянию на 01 апреля 2024 года просроченная кредиторская задолженность по расходам главных распорядителей средств местного бюджета отсутствует.</w:t>
      </w:r>
    </w:p>
    <w:p w:rsidR="0042593E" w:rsidRDefault="0042593E" w:rsidP="0042593E">
      <w:pPr>
        <w:ind w:left="2436" w:hanging="2436"/>
        <w:jc w:val="center"/>
        <w:rPr>
          <w:bCs/>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Раздел 0100 "ОБЩЕГОСУДАРСТВЕННЫЕ ВОПРОСЫ"</w:t>
      </w:r>
    </w:p>
    <w:p w:rsidR="0042593E" w:rsidRDefault="0042593E" w:rsidP="0042593E">
      <w:pPr>
        <w:pStyle w:val="ConsPlusNormal"/>
        <w:widowControl/>
        <w:ind w:firstLine="0"/>
        <w:jc w:val="center"/>
        <w:outlineLvl w:val="2"/>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Кассовое исполнение составило 45 369,08 тыс. рублей или 87,4 % к уточненному плану. В сравнении с аналогичным периодом 2023 года процент исполнения составлял 86,5.</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Резервный фонд администрации Левокумского муниципального округа в отчетном периоде не расходовался. </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0"/>
        <w:jc w:val="center"/>
        <w:outlineLvl w:val="2"/>
        <w:rPr>
          <w:b/>
          <w:bCs/>
          <w:sz w:val="28"/>
          <w:szCs w:val="28"/>
        </w:rPr>
      </w:pPr>
      <w:r>
        <w:rPr>
          <w:rFonts w:ascii="Times New Roman" w:hAnsi="Times New Roman" w:cs="Times New Roman"/>
          <w:sz w:val="28"/>
          <w:szCs w:val="28"/>
        </w:rPr>
        <w:t>Раздел 0200 "НАЦИОНАЛЬНАЯ ОБОРОНА"</w:t>
      </w:r>
    </w:p>
    <w:p w:rsidR="0042593E" w:rsidRDefault="0042593E" w:rsidP="0042593E">
      <w:pPr>
        <w:pStyle w:val="2"/>
        <w:spacing w:after="0" w:line="360" w:lineRule="auto"/>
        <w:ind w:left="0" w:firstLine="709"/>
        <w:jc w:val="both"/>
        <w:rPr>
          <w:b/>
          <w:bCs/>
          <w:sz w:val="28"/>
          <w:szCs w:val="28"/>
        </w:rPr>
      </w:pPr>
    </w:p>
    <w:p w:rsidR="0042593E" w:rsidRDefault="0042593E" w:rsidP="0042593E">
      <w:pPr>
        <w:pStyle w:val="2"/>
        <w:spacing w:after="0" w:line="240" w:lineRule="auto"/>
        <w:ind w:left="0" w:firstLine="709"/>
        <w:jc w:val="both"/>
        <w:rPr>
          <w:sz w:val="28"/>
          <w:szCs w:val="28"/>
        </w:rPr>
      </w:pPr>
      <w:r w:rsidRPr="00582175">
        <w:rPr>
          <w:sz w:val="28"/>
          <w:szCs w:val="28"/>
        </w:rPr>
        <w:t xml:space="preserve">Расходы на </w:t>
      </w:r>
      <w:r>
        <w:rPr>
          <w:sz w:val="28"/>
          <w:szCs w:val="28"/>
        </w:rPr>
        <w:t>по данному разделу</w:t>
      </w:r>
      <w:r w:rsidRPr="00582175">
        <w:rPr>
          <w:sz w:val="28"/>
          <w:szCs w:val="28"/>
        </w:rPr>
        <w:t xml:space="preserve"> освоены</w:t>
      </w:r>
      <w:r w:rsidRPr="00517413">
        <w:rPr>
          <w:sz w:val="28"/>
          <w:szCs w:val="28"/>
        </w:rPr>
        <w:t xml:space="preserve"> в сумме </w:t>
      </w:r>
      <w:r>
        <w:rPr>
          <w:sz w:val="28"/>
          <w:szCs w:val="28"/>
        </w:rPr>
        <w:t>444,0</w:t>
      </w:r>
      <w:r w:rsidRPr="00517413">
        <w:rPr>
          <w:sz w:val="28"/>
          <w:szCs w:val="28"/>
        </w:rPr>
        <w:t xml:space="preserve"> </w:t>
      </w:r>
      <w:proofErr w:type="spellStart"/>
      <w:proofErr w:type="gramStart"/>
      <w:r w:rsidRPr="00517413">
        <w:rPr>
          <w:sz w:val="28"/>
          <w:szCs w:val="28"/>
        </w:rPr>
        <w:t>тыс.рублей</w:t>
      </w:r>
      <w:proofErr w:type="spellEnd"/>
      <w:proofErr w:type="gramEnd"/>
      <w:r w:rsidRPr="00517413">
        <w:rPr>
          <w:sz w:val="28"/>
          <w:szCs w:val="28"/>
        </w:rPr>
        <w:t xml:space="preserve"> или </w:t>
      </w:r>
      <w:r>
        <w:rPr>
          <w:sz w:val="28"/>
          <w:szCs w:val="28"/>
        </w:rPr>
        <w:t>91,2</w:t>
      </w:r>
      <w:r w:rsidRPr="00517413">
        <w:rPr>
          <w:sz w:val="28"/>
          <w:szCs w:val="28"/>
        </w:rPr>
        <w:t>%</w:t>
      </w:r>
      <w:r>
        <w:rPr>
          <w:sz w:val="28"/>
          <w:szCs w:val="28"/>
        </w:rPr>
        <w:t>. В соответствующем периоде прошлого года данные расходы были осуществлены на 96,3%.</w:t>
      </w:r>
    </w:p>
    <w:p w:rsidR="0042593E" w:rsidRPr="00517413" w:rsidRDefault="0042593E" w:rsidP="0042593E">
      <w:pPr>
        <w:pStyle w:val="2"/>
        <w:spacing w:after="0" w:line="360" w:lineRule="auto"/>
        <w:ind w:left="0" w:firstLine="709"/>
        <w:jc w:val="both"/>
        <w:rPr>
          <w:sz w:val="28"/>
          <w:szCs w:val="28"/>
        </w:rPr>
      </w:pPr>
    </w:p>
    <w:p w:rsidR="0042593E" w:rsidRDefault="0042593E" w:rsidP="0042593E">
      <w:pPr>
        <w:jc w:val="center"/>
        <w:rPr>
          <w:bCs/>
          <w:sz w:val="28"/>
          <w:szCs w:val="28"/>
        </w:rPr>
      </w:pPr>
      <w:proofErr w:type="gramStart"/>
      <w:r>
        <w:rPr>
          <w:bCs/>
          <w:sz w:val="28"/>
          <w:szCs w:val="28"/>
        </w:rPr>
        <w:t>РАЗДЕЛ  0300</w:t>
      </w:r>
      <w:proofErr w:type="gramEnd"/>
      <w:r>
        <w:rPr>
          <w:bCs/>
          <w:sz w:val="28"/>
          <w:szCs w:val="28"/>
        </w:rPr>
        <w:t xml:space="preserve"> " НАЦИОНАЛЬНАЯ БЕЗОПАСНОСТЬ И ПРАВООХРАНИТЕЛЬНАЯ ДЕЯТЕЛЬНОСТЬ"</w:t>
      </w:r>
    </w:p>
    <w:p w:rsidR="0042593E" w:rsidRDefault="0042593E" w:rsidP="0042593E">
      <w:pPr>
        <w:jc w:val="center"/>
        <w:rPr>
          <w:bCs/>
          <w:sz w:val="28"/>
          <w:szCs w:val="28"/>
        </w:rPr>
      </w:pPr>
    </w:p>
    <w:p w:rsidR="0042593E" w:rsidRDefault="0042593E" w:rsidP="0042593E">
      <w:pPr>
        <w:ind w:firstLine="709"/>
        <w:jc w:val="both"/>
        <w:rPr>
          <w:sz w:val="28"/>
          <w:szCs w:val="28"/>
        </w:rPr>
      </w:pPr>
      <w:r>
        <w:rPr>
          <w:sz w:val="28"/>
          <w:szCs w:val="28"/>
        </w:rPr>
        <w:t>В соответствии со сводной бюджетной росписью ассигнования, предусмотренные по данному разделу на развитие деятельности единой диспетчерской службы утверждены в сумме 1 411,47 тыс. рублей. Кассовое исполнение по расходам составило 1 354,84 тыс. рублей или 96,0 % к плановым назначениям.</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Раздел 0400 "НАЦИОНАЛЬНАЯ ЭКОНОМИКА"</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утвержденной бюджетной росписью за первый квартал 2024 года на государственную поддержку различных отраслей экономики Ставропольского края по разделу "Национальная экономика" планировалось выделить 61 244,84 тыс. рублей.</w:t>
      </w: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Кассовое исполнение за отчетный период сложилось в </w:t>
      </w:r>
      <w:proofErr w:type="gramStart"/>
      <w:r>
        <w:rPr>
          <w:rFonts w:ascii="Times New Roman" w:hAnsi="Times New Roman" w:cs="Times New Roman"/>
          <w:sz w:val="28"/>
          <w:szCs w:val="28"/>
        </w:rPr>
        <w:t>сумме  6</w:t>
      </w:r>
      <w:proofErr w:type="gramEnd"/>
      <w:r>
        <w:rPr>
          <w:rFonts w:ascii="Times New Roman" w:hAnsi="Times New Roman" w:cs="Times New Roman"/>
          <w:sz w:val="28"/>
          <w:szCs w:val="28"/>
        </w:rPr>
        <w:t> 394,49 тыс. рублей или 10,4 % к уточненному плану. Низкое освоение средств по данному разделу объясняется не поступлением средств из краевого бюджета на дорожный фонд в сумме 54 </w:t>
      </w:r>
      <w:proofErr w:type="gramStart"/>
      <w:r>
        <w:rPr>
          <w:rFonts w:ascii="Times New Roman" w:hAnsi="Times New Roman" w:cs="Times New Roman"/>
          <w:sz w:val="28"/>
          <w:szCs w:val="28"/>
        </w:rPr>
        <w:t>184,21тыс.рублей</w:t>
      </w:r>
      <w:proofErr w:type="gramEnd"/>
      <w:r>
        <w:rPr>
          <w:rFonts w:ascii="Times New Roman" w:hAnsi="Times New Roman" w:cs="Times New Roman"/>
          <w:sz w:val="28"/>
          <w:szCs w:val="28"/>
        </w:rPr>
        <w:t>.  В аналогичном периоде 2023 года процент исполнения составлял 7,6.</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Раздел 0500 "ЖИЛИЩНО-КОММУНАЛЬНОЕ ХОЗЯЙСТВО"</w:t>
      </w:r>
    </w:p>
    <w:p w:rsidR="0042593E" w:rsidRDefault="0042593E" w:rsidP="0042593E">
      <w:pPr>
        <w:pStyle w:val="ConsPlusNormal"/>
        <w:widowControl/>
        <w:ind w:firstLine="0"/>
        <w:jc w:val="center"/>
        <w:outlineLvl w:val="2"/>
        <w:rPr>
          <w:rFonts w:ascii="Times New Roman" w:hAnsi="Times New Roman" w:cs="Times New Roman"/>
          <w:sz w:val="28"/>
          <w:szCs w:val="28"/>
        </w:rPr>
      </w:pPr>
    </w:p>
    <w:p w:rsidR="0042593E" w:rsidRDefault="0042593E" w:rsidP="0042593E">
      <w:pPr>
        <w:ind w:right="154" w:firstLine="567"/>
        <w:jc w:val="both"/>
        <w:rPr>
          <w:bCs/>
          <w:sz w:val="20"/>
          <w:szCs w:val="20"/>
        </w:rPr>
      </w:pPr>
      <w:r w:rsidRPr="00A81E3E">
        <w:rPr>
          <w:sz w:val="28"/>
          <w:szCs w:val="28"/>
        </w:rPr>
        <w:t>Расходы на жилищно-коммунальное хозяйство при</w:t>
      </w:r>
      <w:r w:rsidRPr="00E73176">
        <w:rPr>
          <w:sz w:val="28"/>
          <w:szCs w:val="28"/>
        </w:rPr>
        <w:t xml:space="preserve"> плане </w:t>
      </w:r>
      <w:r>
        <w:rPr>
          <w:sz w:val="28"/>
          <w:szCs w:val="28"/>
        </w:rPr>
        <w:t>36 531,58</w:t>
      </w:r>
      <w:r w:rsidRPr="00E73176">
        <w:rPr>
          <w:sz w:val="28"/>
          <w:szCs w:val="28"/>
        </w:rPr>
        <w:t xml:space="preserve"> </w:t>
      </w:r>
      <w:proofErr w:type="spellStart"/>
      <w:proofErr w:type="gramStart"/>
      <w:r w:rsidRPr="00E73176">
        <w:rPr>
          <w:sz w:val="28"/>
          <w:szCs w:val="28"/>
        </w:rPr>
        <w:t>тыс.рублей</w:t>
      </w:r>
      <w:proofErr w:type="spellEnd"/>
      <w:proofErr w:type="gramEnd"/>
      <w:r w:rsidRPr="00E73176">
        <w:rPr>
          <w:sz w:val="28"/>
          <w:szCs w:val="28"/>
        </w:rPr>
        <w:t xml:space="preserve"> освоены на сумму </w:t>
      </w:r>
      <w:r>
        <w:rPr>
          <w:sz w:val="28"/>
          <w:szCs w:val="28"/>
        </w:rPr>
        <w:t>12 646,18</w:t>
      </w:r>
      <w:r w:rsidRPr="00E73176">
        <w:rPr>
          <w:sz w:val="28"/>
          <w:szCs w:val="28"/>
        </w:rPr>
        <w:t xml:space="preserve"> </w:t>
      </w:r>
      <w:proofErr w:type="spellStart"/>
      <w:r w:rsidRPr="00E73176">
        <w:rPr>
          <w:sz w:val="28"/>
          <w:szCs w:val="28"/>
        </w:rPr>
        <w:t>тыс.рублей</w:t>
      </w:r>
      <w:proofErr w:type="spellEnd"/>
      <w:r w:rsidRPr="00E73176">
        <w:rPr>
          <w:sz w:val="28"/>
          <w:szCs w:val="28"/>
        </w:rPr>
        <w:t xml:space="preserve"> или </w:t>
      </w:r>
      <w:r>
        <w:rPr>
          <w:sz w:val="28"/>
          <w:szCs w:val="28"/>
        </w:rPr>
        <w:t>34,6</w:t>
      </w:r>
      <w:r w:rsidRPr="00E73176">
        <w:rPr>
          <w:sz w:val="28"/>
          <w:szCs w:val="28"/>
        </w:rPr>
        <w:t>%.</w:t>
      </w:r>
      <w:r>
        <w:rPr>
          <w:sz w:val="28"/>
          <w:szCs w:val="28"/>
        </w:rPr>
        <w:t xml:space="preserve"> В аналогичном периоде прошлого года процент освоения средств составлял 12,9.</w:t>
      </w:r>
      <w:r w:rsidRPr="0009599F">
        <w:rPr>
          <w:bCs/>
          <w:sz w:val="20"/>
          <w:szCs w:val="20"/>
        </w:rPr>
        <w:t xml:space="preserve"> </w:t>
      </w:r>
    </w:p>
    <w:p w:rsidR="0042593E" w:rsidRPr="00E73176" w:rsidRDefault="0042593E" w:rsidP="0042593E">
      <w:pPr>
        <w:ind w:right="154" w:firstLine="567"/>
        <w:jc w:val="both"/>
        <w:rPr>
          <w:sz w:val="28"/>
          <w:szCs w:val="28"/>
        </w:rPr>
      </w:pPr>
    </w:p>
    <w:p w:rsidR="0042593E" w:rsidRDefault="0042593E" w:rsidP="0042593E">
      <w:pPr>
        <w:ind w:right="154" w:firstLine="567"/>
        <w:jc w:val="center"/>
        <w:rPr>
          <w:bCs/>
          <w:sz w:val="28"/>
          <w:szCs w:val="28"/>
        </w:rPr>
      </w:pPr>
      <w:r>
        <w:rPr>
          <w:sz w:val="28"/>
          <w:szCs w:val="28"/>
        </w:rPr>
        <w:t>Раздел 0600 "</w:t>
      </w:r>
      <w:r>
        <w:rPr>
          <w:b/>
          <w:bCs/>
          <w:sz w:val="28"/>
          <w:szCs w:val="28"/>
        </w:rPr>
        <w:t xml:space="preserve"> </w:t>
      </w:r>
      <w:r>
        <w:rPr>
          <w:bCs/>
          <w:sz w:val="28"/>
          <w:szCs w:val="28"/>
        </w:rPr>
        <w:t>ОХРАНА ОКРУЖАЮЩЕЙ СРЕДЫ»</w:t>
      </w:r>
    </w:p>
    <w:p w:rsidR="0042593E" w:rsidRDefault="0042593E" w:rsidP="0042593E">
      <w:pPr>
        <w:ind w:right="154" w:firstLine="567"/>
        <w:jc w:val="center"/>
        <w:rPr>
          <w:b/>
          <w:bCs/>
          <w:sz w:val="28"/>
          <w:szCs w:val="28"/>
        </w:rPr>
      </w:pPr>
    </w:p>
    <w:p w:rsidR="0042593E" w:rsidRPr="00436C17" w:rsidRDefault="0042593E" w:rsidP="0042593E">
      <w:pPr>
        <w:ind w:right="154" w:firstLine="567"/>
        <w:jc w:val="both"/>
        <w:rPr>
          <w:sz w:val="28"/>
          <w:szCs w:val="28"/>
        </w:rPr>
      </w:pPr>
      <w:r>
        <w:rPr>
          <w:bCs/>
          <w:sz w:val="28"/>
          <w:szCs w:val="28"/>
        </w:rPr>
        <w:t xml:space="preserve">По данном разделу </w:t>
      </w:r>
      <w:r w:rsidRPr="00436C17">
        <w:rPr>
          <w:bCs/>
          <w:sz w:val="28"/>
          <w:szCs w:val="28"/>
        </w:rPr>
        <w:t xml:space="preserve">предусмотрены </w:t>
      </w:r>
      <w:r>
        <w:rPr>
          <w:bCs/>
          <w:sz w:val="28"/>
          <w:szCs w:val="28"/>
        </w:rPr>
        <w:t xml:space="preserve">целевые средства </w:t>
      </w:r>
      <w:r w:rsidRPr="00436C17">
        <w:rPr>
          <w:bCs/>
          <w:sz w:val="28"/>
          <w:szCs w:val="28"/>
        </w:rPr>
        <w:t xml:space="preserve">в сумме </w:t>
      </w:r>
      <w:r>
        <w:rPr>
          <w:bCs/>
          <w:sz w:val="28"/>
          <w:szCs w:val="28"/>
        </w:rPr>
        <w:t>5 012,77</w:t>
      </w:r>
      <w:r w:rsidRPr="00436C17">
        <w:rPr>
          <w:bCs/>
          <w:sz w:val="28"/>
          <w:szCs w:val="28"/>
        </w:rPr>
        <w:t xml:space="preserve"> </w:t>
      </w:r>
      <w:proofErr w:type="spellStart"/>
      <w:proofErr w:type="gramStart"/>
      <w:r w:rsidRPr="00436C17">
        <w:rPr>
          <w:bCs/>
          <w:sz w:val="28"/>
          <w:szCs w:val="28"/>
        </w:rPr>
        <w:t>тыс.рублей</w:t>
      </w:r>
      <w:proofErr w:type="spellEnd"/>
      <w:proofErr w:type="gramEnd"/>
      <w:r w:rsidRPr="00436C17">
        <w:rPr>
          <w:bCs/>
          <w:sz w:val="28"/>
          <w:szCs w:val="28"/>
        </w:rPr>
        <w:t>, в отчетном периоде расходы</w:t>
      </w:r>
      <w:r>
        <w:rPr>
          <w:bCs/>
          <w:sz w:val="28"/>
          <w:szCs w:val="28"/>
        </w:rPr>
        <w:t xml:space="preserve"> произведены на 4 262,52 </w:t>
      </w:r>
      <w:proofErr w:type="spellStart"/>
      <w:r>
        <w:rPr>
          <w:bCs/>
          <w:sz w:val="28"/>
          <w:szCs w:val="28"/>
        </w:rPr>
        <w:t>тыс.рублей</w:t>
      </w:r>
      <w:proofErr w:type="spellEnd"/>
      <w:r>
        <w:rPr>
          <w:bCs/>
          <w:sz w:val="28"/>
          <w:szCs w:val="28"/>
        </w:rPr>
        <w:t>. Средства освоены на 85,1 %.</w:t>
      </w:r>
    </w:p>
    <w:p w:rsidR="0042593E" w:rsidRDefault="0042593E" w:rsidP="0042593E">
      <w:pPr>
        <w:pStyle w:val="ConsPlusNormal"/>
        <w:widowControl/>
        <w:ind w:firstLine="0"/>
        <w:jc w:val="center"/>
        <w:outlineLvl w:val="2"/>
        <w:rPr>
          <w:rFonts w:ascii="Times New Roman" w:hAnsi="Times New Roman" w:cs="Times New Roman"/>
          <w:sz w:val="28"/>
          <w:szCs w:val="28"/>
        </w:rPr>
      </w:pPr>
    </w:p>
    <w:p w:rsidR="0042593E" w:rsidRDefault="0042593E" w:rsidP="0042593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Раздел 0700 "ОБРАЗОВАНИЕ"</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 финансирование учреждений и мероприятий раздела "Образование" за отчетный период плановые назначения составляли 198 636,30 тыс. рублей. Исполнение расходов по данной отрасли сложилось в сумме 166 917,27тыс. рублей, или 84,0 % к уточненному плану. За первый </w:t>
      </w:r>
      <w:proofErr w:type="gramStart"/>
      <w:r>
        <w:rPr>
          <w:rFonts w:ascii="Times New Roman" w:hAnsi="Times New Roman" w:cs="Times New Roman"/>
          <w:sz w:val="28"/>
          <w:szCs w:val="28"/>
        </w:rPr>
        <w:t>квартал  2023</w:t>
      </w:r>
      <w:proofErr w:type="gramEnd"/>
      <w:r>
        <w:rPr>
          <w:rFonts w:ascii="Times New Roman" w:hAnsi="Times New Roman" w:cs="Times New Roman"/>
          <w:sz w:val="28"/>
          <w:szCs w:val="28"/>
        </w:rPr>
        <w:t xml:space="preserve"> года процент исполнения  составлял 93,8.</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Раздел 0800 "КУЛЬТУРА, КИНЕМАТОГРАФИЯ</w:t>
      </w:r>
    </w:p>
    <w:p w:rsidR="0042593E" w:rsidRDefault="0042593E" w:rsidP="0042593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 СРЕДСТВА МАССОВОЙ ИНФОРМАЦИИ"</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Уточненный план составил 31 682,18 тыс. </w:t>
      </w:r>
      <w:proofErr w:type="gramStart"/>
      <w:r>
        <w:rPr>
          <w:rFonts w:ascii="Times New Roman" w:hAnsi="Times New Roman" w:cs="Times New Roman"/>
          <w:sz w:val="28"/>
          <w:szCs w:val="28"/>
        </w:rPr>
        <w:t>рублей..</w:t>
      </w:r>
      <w:proofErr w:type="gramEnd"/>
      <w:r>
        <w:rPr>
          <w:rFonts w:ascii="Times New Roman" w:hAnsi="Times New Roman" w:cs="Times New Roman"/>
          <w:sz w:val="28"/>
          <w:szCs w:val="28"/>
        </w:rPr>
        <w:t xml:space="preserve"> Исполнение сложилось в сумме 24 692,10 тыс. рублей или 77,9 процента к уточненным плановым назначениям. За аналогичный </w:t>
      </w:r>
      <w:proofErr w:type="gramStart"/>
      <w:r>
        <w:rPr>
          <w:rFonts w:ascii="Times New Roman" w:hAnsi="Times New Roman" w:cs="Times New Roman"/>
          <w:sz w:val="28"/>
          <w:szCs w:val="28"/>
        </w:rPr>
        <w:t>период  2023</w:t>
      </w:r>
      <w:proofErr w:type="gramEnd"/>
      <w:r>
        <w:rPr>
          <w:rFonts w:ascii="Times New Roman" w:hAnsi="Times New Roman" w:cs="Times New Roman"/>
          <w:sz w:val="28"/>
          <w:szCs w:val="28"/>
        </w:rPr>
        <w:t xml:space="preserve"> года процент освоения средств составлял 89,9.</w:t>
      </w:r>
    </w:p>
    <w:p w:rsidR="0042593E" w:rsidRDefault="0042593E" w:rsidP="0042593E">
      <w:pPr>
        <w:pStyle w:val="ConsPlusNormal"/>
        <w:widowControl/>
        <w:ind w:firstLine="0"/>
        <w:jc w:val="center"/>
        <w:outlineLvl w:val="2"/>
        <w:rPr>
          <w:rFonts w:ascii="Times New Roman" w:hAnsi="Times New Roman" w:cs="Times New Roman"/>
          <w:sz w:val="28"/>
          <w:szCs w:val="28"/>
        </w:rPr>
      </w:pPr>
    </w:p>
    <w:p w:rsidR="0042593E" w:rsidRDefault="0042593E" w:rsidP="0042593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Раздел 1000 "СОЦИАЛЬНАЯ ПОЛИТИКА"</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ind w:firstLine="709"/>
        <w:jc w:val="both"/>
        <w:rPr>
          <w:bCs/>
          <w:sz w:val="28"/>
          <w:szCs w:val="28"/>
        </w:rPr>
      </w:pPr>
      <w:r>
        <w:rPr>
          <w:sz w:val="28"/>
          <w:szCs w:val="28"/>
        </w:rPr>
        <w:lastRenderedPageBreak/>
        <w:t>Уточненный объем бюджетных ассигнований составил 85 763,01 тыс</w:t>
      </w:r>
      <w:r>
        <w:rPr>
          <w:bCs/>
          <w:sz w:val="28"/>
          <w:szCs w:val="28"/>
        </w:rPr>
        <w:t xml:space="preserve">. рублей. </w:t>
      </w:r>
    </w:p>
    <w:p w:rsidR="0042593E" w:rsidRDefault="0042593E" w:rsidP="0042593E">
      <w:pPr>
        <w:ind w:firstLine="709"/>
        <w:jc w:val="both"/>
        <w:rPr>
          <w:bCs/>
          <w:sz w:val="28"/>
          <w:szCs w:val="28"/>
        </w:rPr>
      </w:pPr>
      <w:r>
        <w:rPr>
          <w:bCs/>
          <w:sz w:val="28"/>
          <w:szCs w:val="28"/>
        </w:rPr>
        <w:t xml:space="preserve">Кассовое исполнение по данному разделу сложилось в сумме 58 037,87 </w:t>
      </w:r>
      <w:proofErr w:type="spellStart"/>
      <w:proofErr w:type="gramStart"/>
      <w:r>
        <w:rPr>
          <w:bCs/>
          <w:sz w:val="28"/>
          <w:szCs w:val="28"/>
        </w:rPr>
        <w:t>тыс</w:t>
      </w:r>
      <w:proofErr w:type="spellEnd"/>
      <w:r>
        <w:rPr>
          <w:bCs/>
          <w:sz w:val="28"/>
          <w:szCs w:val="28"/>
        </w:rPr>
        <w:t xml:space="preserve"> .</w:t>
      </w:r>
      <w:proofErr w:type="gramEnd"/>
      <w:r>
        <w:rPr>
          <w:bCs/>
          <w:sz w:val="28"/>
          <w:szCs w:val="28"/>
        </w:rPr>
        <w:t> рублей или 67,7 % к плановым назначениям.</w:t>
      </w:r>
    </w:p>
    <w:p w:rsidR="0042593E" w:rsidRDefault="0042593E" w:rsidP="0042593E">
      <w:pPr>
        <w:spacing w:line="252" w:lineRule="auto"/>
        <w:ind w:firstLine="709"/>
        <w:jc w:val="both"/>
        <w:rPr>
          <w:sz w:val="28"/>
          <w:szCs w:val="28"/>
        </w:rPr>
      </w:pPr>
      <w:r>
        <w:rPr>
          <w:sz w:val="28"/>
          <w:szCs w:val="28"/>
        </w:rPr>
        <w:t>По данной отрасли предусмотрены бюджетные ассигнования на осуществление переданных государственных полномочий Российской Федерации и Ставропольского края, связанных с реализацией федерального законодательства и законодательства Ставропольского края, устанавливающего меры социальной поддержки отдельным категориям граждан</w:t>
      </w:r>
    </w:p>
    <w:p w:rsidR="0042593E" w:rsidRDefault="0042593E" w:rsidP="0042593E">
      <w:pPr>
        <w:spacing w:line="252" w:lineRule="auto"/>
        <w:ind w:firstLine="709"/>
        <w:jc w:val="both"/>
        <w:rPr>
          <w:sz w:val="28"/>
          <w:szCs w:val="28"/>
        </w:rPr>
      </w:pPr>
      <w:r>
        <w:rPr>
          <w:sz w:val="28"/>
          <w:szCs w:val="28"/>
        </w:rPr>
        <w:t>Предоставление мер социальной поддержки отдельным категориям граждан осуществлялось исходя из фактической потребности в средствах, в связи, с чем кредиторская задолженность по социальным выплатам, установленным федеральным законодательством и законодательством Ставропольского края, по состоянию на 01апреля 2024 года отсутствует.</w:t>
      </w:r>
    </w:p>
    <w:p w:rsidR="0042593E" w:rsidRDefault="0042593E" w:rsidP="0042593E">
      <w:pPr>
        <w:spacing w:line="252" w:lineRule="auto"/>
        <w:ind w:firstLine="709"/>
        <w:jc w:val="both"/>
        <w:rPr>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                              Раздел 1100 "ФИЗИЧЕСКАЯ КУЛЬТУРА И СПОРТ "</w:t>
      </w:r>
    </w:p>
    <w:p w:rsidR="0042593E" w:rsidRDefault="0042593E" w:rsidP="0042593E">
      <w:pPr>
        <w:pStyle w:val="ConsPlusNormal"/>
        <w:widowControl/>
        <w:ind w:firstLine="540"/>
        <w:jc w:val="both"/>
        <w:rPr>
          <w:rFonts w:ascii="Times New Roman" w:hAnsi="Times New Roman" w:cs="Times New Roman"/>
          <w:sz w:val="28"/>
          <w:szCs w:val="28"/>
        </w:rPr>
      </w:pPr>
    </w:p>
    <w:p w:rsidR="0042593E" w:rsidRDefault="0042593E" w:rsidP="004259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Уточненный план по расходам данного раздела составил 1 356,98 тыс. рублей, исполнение – 1 233,55 тыс. рублей, или 90,9% к уточненным плановым назначениям отчетного периода. </w:t>
      </w:r>
    </w:p>
    <w:p w:rsidR="0042593E" w:rsidRDefault="0042593E" w:rsidP="0042593E">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  </w:t>
      </w:r>
    </w:p>
    <w:p w:rsidR="0042593E" w:rsidRDefault="0042593E" w:rsidP="0042593E">
      <w:pPr>
        <w:pStyle w:val="ConsPlusNormal"/>
        <w:widowControl/>
        <w:ind w:firstLine="540"/>
        <w:jc w:val="both"/>
        <w:outlineLvl w:val="3"/>
        <w:rPr>
          <w:rFonts w:ascii="Times New Roman" w:hAnsi="Times New Roman" w:cs="Times New Roman"/>
          <w:sz w:val="28"/>
          <w:szCs w:val="28"/>
        </w:rPr>
      </w:pPr>
    </w:p>
    <w:p w:rsidR="0042593E" w:rsidRDefault="0042593E" w:rsidP="0042593E">
      <w:pPr>
        <w:rPr>
          <w:sz w:val="28"/>
          <w:szCs w:val="28"/>
        </w:rPr>
      </w:pPr>
    </w:p>
    <w:p w:rsidR="0042593E" w:rsidRDefault="0042593E" w:rsidP="0042593E">
      <w:pPr>
        <w:rPr>
          <w:sz w:val="28"/>
          <w:szCs w:val="28"/>
        </w:rPr>
      </w:pPr>
    </w:p>
    <w:p w:rsidR="0042593E" w:rsidRDefault="0042593E" w:rsidP="0042593E">
      <w:pPr>
        <w:rPr>
          <w:sz w:val="28"/>
          <w:szCs w:val="28"/>
        </w:rPr>
      </w:pPr>
    </w:p>
    <w:p w:rsidR="0042593E" w:rsidRDefault="0042593E" w:rsidP="0042593E">
      <w:pPr>
        <w:tabs>
          <w:tab w:val="left" w:pos="1230"/>
        </w:tabs>
        <w:rPr>
          <w:sz w:val="28"/>
          <w:szCs w:val="28"/>
        </w:rPr>
      </w:pPr>
      <w:r>
        <w:rPr>
          <w:sz w:val="28"/>
          <w:szCs w:val="28"/>
        </w:rPr>
        <w:t xml:space="preserve">Начальник финансового управления </w:t>
      </w:r>
    </w:p>
    <w:p w:rsidR="0042593E" w:rsidRDefault="0042593E" w:rsidP="0042593E">
      <w:pPr>
        <w:tabs>
          <w:tab w:val="left" w:pos="1230"/>
          <w:tab w:val="left" w:pos="6975"/>
        </w:tabs>
        <w:rPr>
          <w:sz w:val="28"/>
          <w:szCs w:val="28"/>
        </w:rPr>
      </w:pPr>
      <w:r>
        <w:rPr>
          <w:sz w:val="28"/>
          <w:szCs w:val="28"/>
        </w:rPr>
        <w:t xml:space="preserve">администрации Левокумского </w:t>
      </w:r>
      <w:r>
        <w:rPr>
          <w:sz w:val="28"/>
          <w:szCs w:val="28"/>
        </w:rPr>
        <w:tab/>
      </w:r>
    </w:p>
    <w:p w:rsidR="0042593E" w:rsidRDefault="0042593E" w:rsidP="0042593E">
      <w:pPr>
        <w:tabs>
          <w:tab w:val="left" w:pos="1230"/>
        </w:tabs>
        <w:rPr>
          <w:sz w:val="28"/>
          <w:szCs w:val="28"/>
        </w:rPr>
      </w:pPr>
      <w:r>
        <w:rPr>
          <w:sz w:val="28"/>
          <w:szCs w:val="28"/>
        </w:rPr>
        <w:t>муниципального округа</w:t>
      </w:r>
      <w:r w:rsidRPr="00820A42">
        <w:rPr>
          <w:sz w:val="28"/>
          <w:szCs w:val="28"/>
        </w:rPr>
        <w:t xml:space="preserve"> </w:t>
      </w:r>
      <w:r>
        <w:rPr>
          <w:sz w:val="28"/>
          <w:szCs w:val="28"/>
        </w:rPr>
        <w:t xml:space="preserve">                                                            </w:t>
      </w:r>
      <w:proofErr w:type="spellStart"/>
      <w:r>
        <w:rPr>
          <w:sz w:val="28"/>
          <w:szCs w:val="28"/>
        </w:rPr>
        <w:t>Л.В.Дубовская</w:t>
      </w:r>
      <w:proofErr w:type="spellEnd"/>
    </w:p>
    <w:p w:rsidR="0042593E" w:rsidRDefault="0042593E" w:rsidP="0042593E"/>
    <w:p w:rsidR="0042593E" w:rsidRDefault="0042593E" w:rsidP="0042593E"/>
    <w:p w:rsidR="0042593E" w:rsidRDefault="0042593E" w:rsidP="0042593E"/>
    <w:p w:rsidR="0042593E" w:rsidRDefault="0042593E" w:rsidP="0042593E"/>
    <w:p w:rsidR="0042593E" w:rsidRDefault="0042593E" w:rsidP="0042593E"/>
    <w:p w:rsidR="00C248AE" w:rsidRDefault="00C248AE"/>
    <w:sectPr w:rsidR="00C2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3E"/>
    <w:rsid w:val="00146540"/>
    <w:rsid w:val="0042593E"/>
    <w:rsid w:val="00C2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28AF"/>
  <w15:chartTrackingRefBased/>
  <w15:docId w15:val="{9E00B12B-D8C0-457D-8540-277FCB4C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9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unhideWhenUsed/>
    <w:rsid w:val="0042593E"/>
    <w:pPr>
      <w:spacing w:after="120" w:line="480" w:lineRule="auto"/>
      <w:ind w:left="283"/>
    </w:pPr>
    <w:rPr>
      <w:lang w:eastAsia="en-US"/>
    </w:rPr>
  </w:style>
  <w:style w:type="character" w:customStyle="1" w:styleId="20">
    <w:name w:val="Основной текст с отступом 2 Знак"/>
    <w:basedOn w:val="a0"/>
    <w:link w:val="2"/>
    <w:uiPriority w:val="99"/>
    <w:rsid w:val="004259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2024-05-06T08:06:00Z</dcterms:created>
  <dcterms:modified xsi:type="dcterms:W3CDTF">2024-05-06T08:07:00Z</dcterms:modified>
</cp:coreProperties>
</file>