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E06C7" w14:textId="77777777" w:rsidR="00246ED7" w:rsidRPr="000E6156" w:rsidRDefault="00246ED7" w:rsidP="00246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</w:p>
    <w:p w14:paraId="6D26B56A" w14:textId="77777777" w:rsidR="00246ED7" w:rsidRPr="000E6156" w:rsidRDefault="00246ED7" w:rsidP="00246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</w:p>
    <w:p w14:paraId="010A9B66" w14:textId="77777777" w:rsidR="00246ED7" w:rsidRPr="000E6156" w:rsidRDefault="00246ED7" w:rsidP="00246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0EF83D26" w14:textId="77777777" w:rsidR="00246ED7" w:rsidRPr="000E6156" w:rsidRDefault="00246ED7" w:rsidP="0024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E8AE8" w14:textId="21DDAE6A" w:rsidR="00246ED7" w:rsidRPr="000E6156" w:rsidRDefault="00246ED7" w:rsidP="0024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Левокумское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1C6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51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3433E326" w14:textId="77777777" w:rsidR="00246ED7" w:rsidRPr="000E6156" w:rsidRDefault="00246ED7" w:rsidP="00246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E0A83" w14:textId="09BED818" w:rsidR="00246ED7" w:rsidRPr="000E6156" w:rsidRDefault="00246ED7" w:rsidP="00246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0651C6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14:paraId="5B061808" w14:textId="77777777" w:rsidR="00246ED7" w:rsidRPr="000E6156" w:rsidRDefault="00246ED7" w:rsidP="0024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4DFF2" w14:textId="1BC96B1F" w:rsidR="00246ED7" w:rsidRDefault="00246ED7" w:rsidP="0024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7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етодики прогнозирования поступлений доходов</w:t>
      </w:r>
    </w:p>
    <w:p w14:paraId="68A0161C" w14:textId="77777777" w:rsidR="00246ED7" w:rsidRDefault="00246ED7" w:rsidP="0024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Левокумского муниципального округа Ставропольского края, администрируемых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администрации </w:t>
      </w:r>
    </w:p>
    <w:p w14:paraId="607D3026" w14:textId="77777777" w:rsidR="00246ED7" w:rsidRPr="000E6156" w:rsidRDefault="00246ED7" w:rsidP="0024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14:paraId="3DAD04EF" w14:textId="77777777" w:rsidR="00246ED7" w:rsidRPr="000E6156" w:rsidRDefault="00246ED7" w:rsidP="00246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A32A94" w14:textId="77777777" w:rsidR="00246ED7" w:rsidRDefault="00246ED7" w:rsidP="00246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A53CDE" w14:textId="77777777" w:rsidR="00246ED7" w:rsidRPr="000E6156" w:rsidRDefault="00246ED7" w:rsidP="0085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B5056">
          <w:rPr>
            <w:rFonts w:ascii="Times New Roman" w:hAnsi="Times New Roman" w:cs="Times New Roman"/>
            <w:sz w:val="28"/>
            <w:szCs w:val="28"/>
          </w:rPr>
          <w:t>пунктом 1 статьи 160</w:t>
        </w:r>
      </w:hyperlink>
      <w:r w:rsidRPr="00DB5056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  и  </w:t>
      </w:r>
      <w:hyperlink r:id="rId7" w:history="1">
        <w:r w:rsidRPr="00DB50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B50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5056">
        <w:rPr>
          <w:rFonts w:ascii="Times New Roman" w:hAnsi="Times New Roman" w:cs="Times New Roman"/>
          <w:sz w:val="28"/>
          <w:szCs w:val="28"/>
        </w:rPr>
        <w:t>23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56">
        <w:rPr>
          <w:rFonts w:ascii="Times New Roman" w:hAnsi="Times New Roman" w:cs="Times New Roman"/>
          <w:sz w:val="28"/>
          <w:szCs w:val="28"/>
        </w:rPr>
        <w:t xml:space="preserve">2016 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5056">
        <w:rPr>
          <w:rFonts w:ascii="Times New Roman" w:hAnsi="Times New Roman" w:cs="Times New Roman"/>
          <w:sz w:val="28"/>
          <w:szCs w:val="28"/>
        </w:rPr>
        <w:t xml:space="preserve"> 574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056">
        <w:rPr>
          <w:rFonts w:ascii="Times New Roman" w:hAnsi="Times New Roman" w:cs="Times New Roman"/>
          <w:sz w:val="28"/>
          <w:szCs w:val="28"/>
        </w:rPr>
        <w:t>Об общих требованиях к методике прогнозирования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56">
        <w:rPr>
          <w:rFonts w:ascii="Times New Roman" w:hAnsi="Times New Roman" w:cs="Times New Roman"/>
          <w:sz w:val="28"/>
          <w:szCs w:val="28"/>
        </w:rPr>
        <w:t>доходов в бюджеты бюджетной системы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D1CE6F7" w14:textId="77777777" w:rsidR="00246ED7" w:rsidRDefault="00246ED7" w:rsidP="0085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5752A" w14:textId="77777777" w:rsidR="00246ED7" w:rsidRPr="00DB5056" w:rsidRDefault="00246ED7" w:rsidP="00850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056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FFC813B" w14:textId="77777777" w:rsidR="00246ED7" w:rsidRDefault="00246ED7" w:rsidP="0085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69E63" w14:textId="193E0F25" w:rsidR="00246ED7" w:rsidRPr="000E6156" w:rsidRDefault="00246ED7" w:rsidP="00850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B5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5056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56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B52A43">
        <w:rPr>
          <w:rFonts w:ascii="Times New Roman" w:hAnsi="Times New Roman" w:cs="Times New Roman"/>
          <w:sz w:val="28"/>
          <w:szCs w:val="28"/>
        </w:rPr>
        <w:t>М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 поступлений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Левокумского муниципального округа Ставропольского края, администрируемых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управлением администрации 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финансовое управление, </w:t>
      </w:r>
      <w:r w:rsidR="00B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етодика).</w:t>
      </w:r>
    </w:p>
    <w:p w14:paraId="5426E972" w14:textId="77777777" w:rsidR="00246ED7" w:rsidRDefault="00246ED7" w:rsidP="0085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69E11" w14:textId="012C727B" w:rsidR="00246ED7" w:rsidRDefault="00246ED7" w:rsidP="00850039">
      <w:pPr>
        <w:pStyle w:val="a3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2. </w:t>
      </w:r>
      <w:r w:rsidRPr="000E6156">
        <w:rPr>
          <w:szCs w:val="28"/>
        </w:rPr>
        <w:t xml:space="preserve"> </w:t>
      </w:r>
      <w:r>
        <w:rPr>
          <w:szCs w:val="28"/>
        </w:rPr>
        <w:t>Установить, что м</w:t>
      </w:r>
      <w:r w:rsidRPr="000E6156">
        <w:rPr>
          <w:szCs w:val="28"/>
        </w:rPr>
        <w:t xml:space="preserve">етодика применяется при прогнозировании поступлений по всем кодам классификации доходов, закрепленных за финансовым управлением постановлением администрации Левокумского муниципального округа Ставропольского края </w:t>
      </w:r>
      <w:r>
        <w:rPr>
          <w:szCs w:val="28"/>
        </w:rPr>
        <w:t xml:space="preserve">от 12 ноября 2021 года № 1330 </w:t>
      </w:r>
      <w:r w:rsidRPr="000E6156">
        <w:rPr>
          <w:szCs w:val="28"/>
        </w:rPr>
        <w:t>«</w:t>
      </w:r>
      <w:r>
        <w:rPr>
          <w:szCs w:val="28"/>
        </w:rPr>
        <w:t>Об утверждении Перечня главных администраторов доходов бюджета Левокумского муниципального округа Ставропольского края»</w:t>
      </w:r>
      <w:r w:rsidRPr="000E6156">
        <w:rPr>
          <w:szCs w:val="28"/>
        </w:rPr>
        <w:t>.</w:t>
      </w:r>
    </w:p>
    <w:p w14:paraId="213078AE" w14:textId="5B927431" w:rsidR="005F5848" w:rsidRDefault="005F5848" w:rsidP="00850039">
      <w:pPr>
        <w:pStyle w:val="a3"/>
        <w:spacing w:line="240" w:lineRule="auto"/>
        <w:ind w:firstLine="567"/>
        <w:rPr>
          <w:szCs w:val="28"/>
        </w:rPr>
      </w:pPr>
    </w:p>
    <w:p w14:paraId="196A4F02" w14:textId="7CD7C146" w:rsidR="005F5848" w:rsidRPr="005F5848" w:rsidRDefault="005F5848" w:rsidP="005F5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48">
        <w:rPr>
          <w:rFonts w:ascii="Times New Roman" w:hAnsi="Times New Roman" w:cs="Times New Roman"/>
          <w:sz w:val="28"/>
          <w:szCs w:val="28"/>
        </w:rPr>
        <w:t xml:space="preserve">3. Признать утратившим силу приказ финансового управления администрации Левокумского муниципального округа Ставропольского края от 25 октября 2023 года №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прогнозирования поступлений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Левокумского муниципального округа Ставропольского края, администрируемых финансовым управлением администрации 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2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05DFF" w14:textId="2A4F3763" w:rsidR="005F5848" w:rsidRPr="005F5848" w:rsidRDefault="005F5848" w:rsidP="005F5848">
      <w:pPr>
        <w:pStyle w:val="a3"/>
        <w:spacing w:line="240" w:lineRule="auto"/>
        <w:ind w:firstLine="709"/>
        <w:rPr>
          <w:szCs w:val="28"/>
        </w:rPr>
      </w:pPr>
    </w:p>
    <w:p w14:paraId="34F6C3B0" w14:textId="3C451ED4" w:rsidR="00850039" w:rsidRDefault="005F5848" w:rsidP="0085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A20AA" w14:textId="6593D0BA" w:rsidR="00246ED7" w:rsidRDefault="005F5848" w:rsidP="0085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46ED7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заместителя начальника финансового управления администрации Левокумского муниципального округа Ставропольского края</w:t>
      </w:r>
      <w:r w:rsidR="00850039">
        <w:rPr>
          <w:rFonts w:ascii="Times New Roman" w:hAnsi="Times New Roman" w:cs="Times New Roman"/>
          <w:sz w:val="28"/>
          <w:szCs w:val="28"/>
        </w:rPr>
        <w:t xml:space="preserve"> Захарчук О.В.</w:t>
      </w:r>
    </w:p>
    <w:p w14:paraId="2AD3D34E" w14:textId="595EE660" w:rsidR="00246ED7" w:rsidRDefault="00246ED7" w:rsidP="0085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B8DB5A" w14:textId="77777777" w:rsidR="00850039" w:rsidRDefault="00850039" w:rsidP="00850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5E1DFF" w14:textId="77777777" w:rsidR="00246ED7" w:rsidRPr="009B0391" w:rsidRDefault="00246ED7" w:rsidP="00850039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B0391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администрации </w:t>
      </w:r>
    </w:p>
    <w:p w14:paraId="04B17E22" w14:textId="77777777" w:rsidR="00246ED7" w:rsidRPr="009B0391" w:rsidRDefault="00246ED7" w:rsidP="00850039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B039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14:paraId="28407E33" w14:textId="77777777" w:rsidR="00246ED7" w:rsidRPr="009B0391" w:rsidRDefault="00246ED7" w:rsidP="00850039">
      <w:pPr>
        <w:pBdr>
          <w:bottom w:val="single" w:sz="12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B039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Л.В. Дубовская</w:t>
      </w:r>
    </w:p>
    <w:p w14:paraId="4D362592" w14:textId="77777777" w:rsidR="00246ED7" w:rsidRDefault="00246ED7" w:rsidP="00246ED7">
      <w:pPr>
        <w:sectPr w:rsidR="00246ED7" w:rsidSect="001573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14C30F9" w14:textId="77777777" w:rsidR="00246ED7" w:rsidRDefault="00246ED7" w:rsidP="00246ED7">
      <w:pPr>
        <w:autoSpaceDE w:val="0"/>
        <w:autoSpaceDN w:val="0"/>
        <w:adjustRightInd w:val="0"/>
        <w:spacing w:after="0" w:line="240" w:lineRule="auto"/>
        <w:ind w:right="283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УТВЕРЖДЕНА:</w:t>
      </w:r>
    </w:p>
    <w:p w14:paraId="52FF9F9D" w14:textId="77777777" w:rsidR="00246ED7" w:rsidRDefault="00246ED7" w:rsidP="00246ED7">
      <w:pPr>
        <w:autoSpaceDE w:val="0"/>
        <w:autoSpaceDN w:val="0"/>
        <w:adjustRightInd w:val="0"/>
        <w:spacing w:after="0" w:line="240" w:lineRule="auto"/>
        <w:ind w:right="283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</w:t>
      </w:r>
    </w:p>
    <w:p w14:paraId="339B3E1A" w14:textId="77777777" w:rsidR="00246ED7" w:rsidRDefault="00246ED7" w:rsidP="00246ED7">
      <w:pPr>
        <w:autoSpaceDE w:val="0"/>
        <w:autoSpaceDN w:val="0"/>
        <w:adjustRightInd w:val="0"/>
        <w:spacing w:after="0" w:line="240" w:lineRule="auto"/>
        <w:ind w:right="283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финансового управления </w:t>
      </w:r>
    </w:p>
    <w:p w14:paraId="65AA2CC8" w14:textId="77777777" w:rsidR="00246ED7" w:rsidRDefault="00246ED7" w:rsidP="00246ED7">
      <w:pPr>
        <w:autoSpaceDE w:val="0"/>
        <w:autoSpaceDN w:val="0"/>
        <w:adjustRightInd w:val="0"/>
        <w:spacing w:after="0" w:line="240" w:lineRule="auto"/>
        <w:ind w:right="283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Левокумского</w:t>
      </w:r>
    </w:p>
    <w:p w14:paraId="4C84DD7B" w14:textId="77777777" w:rsidR="00246ED7" w:rsidRDefault="00246ED7" w:rsidP="00246ED7">
      <w:pPr>
        <w:autoSpaceDE w:val="0"/>
        <w:autoSpaceDN w:val="0"/>
        <w:adjustRightInd w:val="0"/>
        <w:spacing w:after="0" w:line="240" w:lineRule="auto"/>
        <w:ind w:right="283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14:paraId="203195F2" w14:textId="77777777" w:rsidR="00246ED7" w:rsidRDefault="00246ED7" w:rsidP="00246ED7">
      <w:pPr>
        <w:autoSpaceDE w:val="0"/>
        <w:autoSpaceDN w:val="0"/>
        <w:adjustRightInd w:val="0"/>
        <w:spacing w:after="0" w:line="240" w:lineRule="auto"/>
        <w:ind w:right="283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14:paraId="29522BB9" w14:textId="06D15778" w:rsidR="00246ED7" w:rsidRDefault="00246ED7" w:rsidP="00246ED7">
      <w:pPr>
        <w:autoSpaceDE w:val="0"/>
        <w:autoSpaceDN w:val="0"/>
        <w:adjustRightInd w:val="0"/>
        <w:spacing w:after="0" w:line="240" w:lineRule="auto"/>
        <w:ind w:right="283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52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октября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B52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B52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</w:p>
    <w:p w14:paraId="506424A2" w14:textId="77777777" w:rsidR="00246ED7" w:rsidRPr="000E6156" w:rsidRDefault="00246ED7" w:rsidP="00246ED7">
      <w:pPr>
        <w:autoSpaceDE w:val="0"/>
        <w:autoSpaceDN w:val="0"/>
        <w:adjustRightInd w:val="0"/>
        <w:spacing w:after="0" w:line="240" w:lineRule="auto"/>
        <w:ind w:right="283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DE3F2F" w14:textId="77777777" w:rsidR="00246ED7" w:rsidRDefault="00246ED7" w:rsidP="00246ED7">
      <w:pPr>
        <w:spacing w:after="0" w:line="240" w:lineRule="auto"/>
        <w:ind w:right="283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2AA9DD" w14:textId="77777777" w:rsidR="00246ED7" w:rsidRDefault="00246ED7" w:rsidP="00246E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3818A" w14:textId="2E0098CE" w:rsidR="00246ED7" w:rsidRDefault="00246ED7" w:rsidP="00246ED7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2A4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</w:t>
      </w:r>
    </w:p>
    <w:p w14:paraId="12ABD6A4" w14:textId="77777777" w:rsidR="00EF47F1" w:rsidRDefault="00246ED7" w:rsidP="00246ED7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поступлений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Левокумского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574D6772" w14:textId="2ED369DB" w:rsidR="00246ED7" w:rsidRDefault="00EF47F1" w:rsidP="00246ED7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6ED7"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Ставропольского края, администрируемых </w:t>
      </w:r>
      <w:r w:rsidR="00246ED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46ED7"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управлением администрации Левокумского</w:t>
      </w:r>
    </w:p>
    <w:p w14:paraId="4F8651DC" w14:textId="77777777" w:rsidR="00246ED7" w:rsidRDefault="00246ED7" w:rsidP="00246ED7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</w:t>
      </w:r>
    </w:p>
    <w:p w14:paraId="6EFF4FC4" w14:textId="77777777" w:rsidR="00246ED7" w:rsidRDefault="00246ED7" w:rsidP="00246E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8CB4F" w14:textId="77777777" w:rsidR="00246ED7" w:rsidRPr="000E6156" w:rsidRDefault="00246ED7" w:rsidP="00246E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C638D" w14:textId="77777777" w:rsidR="00246ED7" w:rsidRPr="008B5412" w:rsidRDefault="00246ED7" w:rsidP="0085003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Настоящая Методика прогнозирования поступлений доходов в бюджет Левокумского муниципального округа Ставропольского края,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наделен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главного администратора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Методика прогнозирования) определяет порядок прогнозирования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доходов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(далее - местный бюджет), в отношении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управление администрации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главного администратора доходов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(далее - главный администратор доходов).</w:t>
      </w:r>
    </w:p>
    <w:p w14:paraId="5A4747DD" w14:textId="77777777" w:rsidR="00C348AE" w:rsidRDefault="00C348AE" w:rsidP="0085003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B18EE" w14:textId="103848A3" w:rsidR="00246ED7" w:rsidRPr="008B5412" w:rsidRDefault="00246ED7" w:rsidP="0085003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Методика прогнозирования разработана на основе единых подходов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прогнозированию поступлений доходов в текущем финансовом году, очередном финансовом году и плановом периоде. Для текущего финансового</w:t>
      </w:r>
      <w:r w:rsidR="003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Методика прогнозирования предусматривает в том числе использование</w:t>
      </w:r>
      <w:r w:rsidR="003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 фактических поступлениях доходов за истекшие месяцы этого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описанием алгоритма их использования (в том числе увеличение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прогноза доходов на сумму корректировки, рассчитываемой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данных о фактических поступлениях доходов, уточнение прогнозируемых значений показателей, используемых для 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поступлений, с учетом их фактических значений).</w:t>
      </w:r>
    </w:p>
    <w:p w14:paraId="4C7FC00C" w14:textId="77777777" w:rsidR="00C348AE" w:rsidRDefault="00C348AE" w:rsidP="00B52A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EDF6E" w14:textId="77777777" w:rsidR="00604149" w:rsidRDefault="00246ED7" w:rsidP="00B52A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прогнозирования разрабатывается по каждому виду (или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главного администратора доходов - подвиду) доходов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доходов) по форме согласно </w:t>
      </w:r>
      <w:r w:rsidR="006041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DC82932" w14:textId="0052929A" w:rsidR="00246ED7" w:rsidRPr="008B5412" w:rsidRDefault="00246ED7" w:rsidP="00B52A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ению к Методике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содержит:</w:t>
      </w:r>
    </w:p>
    <w:p w14:paraId="22E128A0" w14:textId="77777777" w:rsidR="00246ED7" w:rsidRPr="008B5412" w:rsidRDefault="00246ED7" w:rsidP="00B52A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вида доходов и соответствующий код бюджетной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Российской Федерации;</w:t>
      </w:r>
    </w:p>
    <w:p w14:paraId="32E04436" w14:textId="77777777" w:rsidR="00246ED7" w:rsidRPr="008B5412" w:rsidRDefault="00246ED7" w:rsidP="00B52A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описание показателей, используемых для расчета прогнозного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поступлений по каждому виду доходов, с указанием алгоритма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значения (источника данных) для соответствующего показателя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корректирующие показатели);</w:t>
      </w:r>
    </w:p>
    <w:p w14:paraId="60A5AD66" w14:textId="77777777" w:rsidR="00246ED7" w:rsidRPr="008B5412" w:rsidRDefault="00246ED7" w:rsidP="00B52A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характеристику метода расчета прогнозного объема поступлений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виду доходов. Для каждого вида доходов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методов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сочетание следующих методов расчета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расчета:</w:t>
      </w:r>
    </w:p>
    <w:p w14:paraId="4EF9FD77" w14:textId="77777777" w:rsidR="00246ED7" w:rsidRPr="008B5412" w:rsidRDefault="00246ED7" w:rsidP="00B52A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расчет, основанный на непосредственном использовании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прогнозных значений объемных и стоимостных показателей, уровней ставок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показателей, определяющих прогнозный объем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прогнозируемого вида доходов;</w:t>
      </w:r>
    </w:p>
    <w:p w14:paraId="677DAF25" w14:textId="77777777" w:rsidR="00246ED7" w:rsidRDefault="00246ED7" w:rsidP="00B52A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усреднение - расчет на основании усреднения годовых объемов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не менее чем за 3 года или за весь период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вида доходов в случае, если он не превышает 3 года;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B51461" w14:textId="77777777" w:rsidR="00246ED7" w:rsidRPr="008B5412" w:rsidRDefault="00246ED7" w:rsidP="00B52A43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 - расчет с применением индекса потребительских цен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коэффициента, характеризующего динамику прогнозируемого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местного бюджета;</w:t>
      </w:r>
    </w:p>
    <w:p w14:paraId="4CDBA355" w14:textId="77777777" w:rsidR="00246ED7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экстраполяция - расчет, осуществляемый на основании имеющихся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 тенденциях изменения поступлений в предшествующие периоды;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15C268" w14:textId="558E59DD" w:rsidR="00246ED7" w:rsidRPr="008B5412" w:rsidRDefault="00246ED7" w:rsidP="00802565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способ, который должен быть описан и обоснован в методике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прогнозирования;</w:t>
      </w:r>
    </w:p>
    <w:p w14:paraId="5ACFD10B" w14:textId="77777777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описание фактического алгоритма (и (или) формулу) 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прогнозируемого объема поступлений в местный бюджет.</w:t>
      </w:r>
    </w:p>
    <w:p w14:paraId="40825CE2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374DA" w14:textId="5BF77CFA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Методика прогнозирования в случае использования метода прямого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может содержать характеристику уровня собираемости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доходов (при его применимости) с учетом динамики показателя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собираемости соответствующего вида доходов в предшествующие периоды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уровня собираемости соответствующего вида доходов (в случае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наличия).</w:t>
      </w:r>
    </w:p>
    <w:p w14:paraId="7482503C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6B194" w14:textId="643230AD" w:rsidR="00246ED7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E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задолженности по платежам в бюджеты бюджетной системы Российской Федерации (за исключением задолженности, подлежащей учету на забалансовых счетах до принятия решения о ее восстановлении на балансовых счетах или списании с забалансовых счетов), получаемой на основании данных о планирующемся зачислении или с применением одного из методов (сочетания методов), указанных в подпункте "в" пункта 3 настоящего документа, с описанием алгоритма ее использования (увеличение прогноза доходов на сумму такой </w:t>
      </w:r>
      <w:r w:rsidRPr="009E2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оценки, уточнение прогнозируемых значений показателей, используемых для расчета прогнозного объема поступлений) для всех видов доходов, по которым задолженность по платежам в бюджеты бюджетной системы Российской Федерации отражается в бюджетной отчетности главного администратора доходов, а также влияния на объем поступлений доходов отдельных решений Президента Российской Федерации, Правительства Российской Федерации, </w:t>
      </w:r>
      <w:r w:rsidRPr="0040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Ставропольского края и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40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(далее - муниципальные правовые акты)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C79DB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74146" w14:textId="464D0382" w:rsidR="00246ED7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0619B">
        <w:t xml:space="preserve"> </w:t>
      </w:r>
      <w:r w:rsidRPr="00406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прогнозирования в случае использования при расчете прогнозного объема поступлений данных (в том числе о прогнозе иных видов доходов), получаемых от органов государственной власти, органов местного самоуправления или организаций, предусматривает положения, регламентирующие порядок получения таких данных.</w:t>
      </w:r>
    </w:p>
    <w:p w14:paraId="13290F1B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FF158" w14:textId="0F2B820E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прогнозирования составляется с учетом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Российской Федерации, Ставропольского края,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актов. При этом проекты нормативных правовых актов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актов, предусматривающих внесение изменений в соответствующие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могут учитываться при расчете прогнозного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поступлений доходов по решению соответственно Министерства финансов Российской Федерации, министерства финансов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14:paraId="7BAE2B78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AB1C7" w14:textId="2935453E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прогнозирования в случаях, когда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вида доходов предусматривает использование показателей социально-экономического развития, основывается на показателях прогноза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среднесрочный период, разработанного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(далее 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социально-экономического развития).</w:t>
      </w:r>
    </w:p>
    <w:p w14:paraId="5416827A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32650" w14:textId="63C69387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расчета прогнозируемого объема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налогов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Методики прогнозирования:</w:t>
      </w:r>
    </w:p>
    <w:p w14:paraId="1721B131" w14:textId="77777777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применяется метод прямого расчета;</w:t>
      </w:r>
    </w:p>
    <w:p w14:paraId="02976E62" w14:textId="77777777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налоговая база в прогнозируемом периоде определяется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отчетности за предыдущие годы с учетом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социально-экономического развития и иной информации, указанной администратором доходов согласно подпункту «б» пункта 3 Методики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прогнозирования;</w:t>
      </w:r>
    </w:p>
    <w:p w14:paraId="06726751" w14:textId="77777777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учитывается информация о ставках платежей с 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нормы законодательства Российской Федерации о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налогах и сборах или иных нормативных правовых актов Российской Федерации, Ставропольского края и муниципальных правовых актов;</w:t>
      </w:r>
    </w:p>
    <w:p w14:paraId="6DF24D5E" w14:textId="77777777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алгоритм расчета для каждого вида доходов должен включать оценку</w:t>
      </w:r>
    </w:p>
    <w:p w14:paraId="038EEFCD" w14:textId="77777777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выпадающих доходов в связи с применением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льгот, освобождений и иных преференций с указанием соответствующих норм законодательства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или информацию об отсутствии таких льгот. Расчет выпадающих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осуществляется с использованием методов (комбинации методов), указанных в подпункте «в» пункта 3 Методики прогнозирования.</w:t>
      </w:r>
    </w:p>
    <w:p w14:paraId="34C411B3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23BF4" w14:textId="7E985364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расчета прогнозируемого объема прочих доходов при разработке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прогнозирования:</w:t>
      </w:r>
    </w:p>
    <w:p w14:paraId="0E12C720" w14:textId="77777777" w:rsidR="00246ED7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оказания платных услуг (работ) получателями средств бюджетов муниципальных округов, в части доходов казенных учреждений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метод прямого расчета;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стоимости, установленной органами местного самоуправления;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количества планируемых платных услуг каждого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статистических данных не менее чем за 3 года или за весь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оказания услуги в случае, если он не превышает 3 лет;</w:t>
      </w:r>
    </w:p>
    <w:p w14:paraId="016DD50B" w14:textId="44A4D557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части доходов по прочим доходам от компенсации затрат бюджетов муниципальных округов </w:t>
      </w:r>
      <w:r w:rsidR="00577C44" w:rsidRPr="0057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</w:t>
      </w:r>
      <w:r w:rsidR="00F950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5049" w:rsidRPr="00F95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средненный метод расчета</w:t>
      </w:r>
      <w:r w:rsidR="00577C44" w:rsidRPr="0057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95049" w:rsidRPr="00F950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объем поступлений доходов по прочим доходам от компенсации затрат бюджетов муниципальных округов за три отчетных финансовых года, предшествующих текущему финансовому году, согласно отчетам об исполнении бюджет</w:t>
      </w:r>
      <w:r w:rsidR="00F950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92C63C" w14:textId="44AB5B50" w:rsidR="00246ED7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доходов от в</w:t>
      </w: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озмещения ущерба при возникновении страховых случаев, когда выгодоприобретателями выступают получатели средств бюджета </w:t>
      </w:r>
      <w:r w:rsidR="003A78D3"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  <w:r w:rsidR="00F95049" w:rsidRPr="00F95049">
        <w:t xml:space="preserve"> </w:t>
      </w:r>
      <w:r w:rsidR="00F95049" w:rsidRPr="00F95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усредненный метод</w:t>
      </w:r>
      <w:r w:rsidR="00F9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следующие факторы:</w:t>
      </w:r>
    </w:p>
    <w:p w14:paraId="32CBD154" w14:textId="569B1022" w:rsidR="00246ED7" w:rsidRPr="00017F06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фактических поступлений доходов от </w:t>
      </w:r>
      <w:r w:rsidRPr="00CF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ущерба при возникновении страховых случаев, когда выгодоприобретателями выступают получатели средств бюджета муниципального округа</w:t>
      </w: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три отчетных финансовых года, предшествующих текущему финансовому году, согласно </w:t>
      </w:r>
      <w:r w:rsidR="000E7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отчетам</w:t>
      </w: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бюджета;</w:t>
      </w:r>
    </w:p>
    <w:p w14:paraId="00FF23C2" w14:textId="07E445C4" w:rsidR="00246ED7" w:rsidRPr="008B5412" w:rsidRDefault="00246ED7" w:rsidP="00D97B77">
      <w:pPr>
        <w:spacing w:after="0" w:line="240" w:lineRule="auto"/>
        <w:ind w:right="28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факторы (в том числе возможная корректировка на </w:t>
      </w:r>
      <w:r w:rsidR="003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47F1"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поступления, </w:t>
      </w:r>
      <w:r w:rsidR="00EF4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нестабильный </w:t>
      </w:r>
      <w:r w:rsidR="00C118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разовый характер</w:t>
      </w:r>
      <w:r w:rsidR="00C118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другое).</w:t>
      </w:r>
    </w:p>
    <w:p w14:paraId="570B6C78" w14:textId="6DC42A5F" w:rsidR="00246ED7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F3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невыясненных поступлений, зачисляемых в бюджеты субъектов Российской Федерации</w:t>
      </w:r>
      <w:r w:rsidR="003A78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D10143" w14:textId="29022B89" w:rsidR="003A78D3" w:rsidRDefault="003A78D3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приказа Министерства финансов РФ от 13.04.2020 г. № 66Н «Об утверждении Порядка учета Федеральным казначейством поступлений в бюджетную смету РФ их распределения </w:t>
      </w:r>
      <w:r w:rsidRPr="003A7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бюджетами бюджетной сметы» невыясненные поступления подлежат уточнению по назначению. На очередной финансовый год и планируемый период прогнозируемые объемы невыясненных поступлений не рассчитываются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прогнозируется и принимается равным нулю</w:t>
      </w:r>
      <w:r w:rsidR="00D97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4488C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2D7F8" w14:textId="60E7C8EE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C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исчисления безвозмездных поступлений от других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системы Российской Федерации 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такой объем расходов определен. В иных случаях прогнозирование может осуществляться в соответствии с положениями, предусмотренными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3 - 7 Методики прогнозирования.</w:t>
      </w:r>
    </w:p>
    <w:p w14:paraId="6D851F1C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42C1F" w14:textId="203006E4" w:rsidR="00246ED7" w:rsidRPr="008B5412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C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методики прогнозирования по видам доходов, не указанным в настоящем документе, осуществляется в соответствии с пунктами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3 - 7 Методики прогнозирования.</w:t>
      </w:r>
    </w:p>
    <w:p w14:paraId="609C9EBF" w14:textId="77777777" w:rsidR="00C348AE" w:rsidRDefault="00C348AE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D71BB" w14:textId="27075D8D" w:rsidR="00246ED7" w:rsidRDefault="00246ED7" w:rsidP="00D97B77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C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очередном финансовом году возможна корректировка прогноза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поступлений по каждому доходному источнику, указанному в Методике прогнозирования, с учетом их фактического поступления в ходе исполнения местного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14:paraId="61E11648" w14:textId="532CDC4E" w:rsidR="00246ED7" w:rsidRDefault="00246ED7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C75CC" w14:textId="28100EAB" w:rsidR="00D97B77" w:rsidRDefault="00D97B77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F7DD5" w14:textId="0D9F025D" w:rsidR="00D97B77" w:rsidRDefault="00D97B77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60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82A6A3A" w14:textId="0F84CC91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89922" w14:textId="0307B1FB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38AC7" w14:textId="0F2FCEAA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7F61F" w14:textId="0A49DD1B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4001E" w14:textId="6A755849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8DD1C" w14:textId="5ED746EC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8BE14" w14:textId="4730BFC9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A568A" w14:textId="3D16C1C7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BA5F" w14:textId="0F3EA881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3161B" w14:textId="4A040152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375D7" w14:textId="7DBC84C8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ED807" w14:textId="39F2699F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AD3E0" w14:textId="372F0D6B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2A1EE" w14:textId="02AAFC0F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481B2" w14:textId="004076FE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192EA" w14:textId="570DEE07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174A9" w14:textId="3795435F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67464" w14:textId="4DEC1B36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CBC42" w14:textId="302F216B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1E003" w14:textId="7D9B9A45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A3855" w14:textId="4CD00B0A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469A1" w14:textId="2F952E04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311D8" w14:textId="77777777" w:rsidR="00604149" w:rsidRDefault="00604149" w:rsidP="00246ED7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4149" w:rsidSect="00246E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3BF437" w14:textId="7777777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16A6CF9" w14:textId="7777777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Методике 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прогнозирования поступлений </w:t>
      </w:r>
    </w:p>
    <w:p w14:paraId="1BCE60ED" w14:textId="7777777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Левокумского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</w:t>
      </w:r>
    </w:p>
    <w:p w14:paraId="2A7980D8" w14:textId="12509CF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администрируемых </w:t>
      </w:r>
    </w:p>
    <w:p w14:paraId="111C7B3D" w14:textId="7777777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администрации </w:t>
      </w:r>
    </w:p>
    <w:p w14:paraId="3C9DD08E" w14:textId="7777777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2ED57A3C" w14:textId="7777777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приказом</w:t>
      </w:r>
    </w:p>
    <w:p w14:paraId="092C6629" w14:textId="7777777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</w:t>
      </w:r>
    </w:p>
    <w:p w14:paraId="6BCA1168" w14:textId="7777777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</w:p>
    <w:p w14:paraId="012374C8" w14:textId="77777777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</w:p>
    <w:p w14:paraId="6548B957" w14:textId="2D5DC38B" w:rsidR="00604149" w:rsidRDefault="00604149" w:rsidP="00604149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октября 2024 года № 63</w:t>
      </w:r>
    </w:p>
    <w:p w14:paraId="68F41B24" w14:textId="77777777" w:rsidR="00604149" w:rsidRDefault="00604149" w:rsidP="00604149">
      <w:pPr>
        <w:jc w:val="right"/>
      </w:pPr>
    </w:p>
    <w:p w14:paraId="63D8B52A" w14:textId="77C233FA" w:rsidR="00604149" w:rsidRDefault="00604149" w:rsidP="00604149">
      <w:pPr>
        <w:jc w:val="center"/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30"/>
        <w:gridCol w:w="1842"/>
        <w:gridCol w:w="2268"/>
        <w:gridCol w:w="2268"/>
        <w:gridCol w:w="1985"/>
        <w:gridCol w:w="1843"/>
        <w:gridCol w:w="1701"/>
      </w:tblGrid>
      <w:tr w:rsidR="00246ED7" w:rsidRPr="00246ED7" w14:paraId="329C211C" w14:textId="77777777" w:rsidTr="00246ED7">
        <w:tc>
          <w:tcPr>
            <w:tcW w:w="567" w:type="dxa"/>
            <w:shd w:val="clear" w:color="auto" w:fill="auto"/>
          </w:tcPr>
          <w:p w14:paraId="1320B208" w14:textId="5F51E55B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14:paraId="685AA9A1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Код главного администратора доходов </w:t>
            </w:r>
          </w:p>
        </w:tc>
        <w:tc>
          <w:tcPr>
            <w:tcW w:w="1730" w:type="dxa"/>
            <w:shd w:val="clear" w:color="auto" w:fill="auto"/>
          </w:tcPr>
          <w:p w14:paraId="792A85B0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1842" w:type="dxa"/>
            <w:shd w:val="clear" w:color="auto" w:fill="auto"/>
          </w:tcPr>
          <w:p w14:paraId="6F57A8F8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268" w:type="dxa"/>
            <w:shd w:val="clear" w:color="auto" w:fill="auto"/>
          </w:tcPr>
          <w:p w14:paraId="10FA3200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Наименование КБК доходов</w:t>
            </w:r>
          </w:p>
        </w:tc>
        <w:tc>
          <w:tcPr>
            <w:tcW w:w="2268" w:type="dxa"/>
            <w:shd w:val="clear" w:color="auto" w:fill="auto"/>
          </w:tcPr>
          <w:p w14:paraId="695CDFDF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Наименование метода расчета</w:t>
            </w:r>
          </w:p>
        </w:tc>
        <w:tc>
          <w:tcPr>
            <w:tcW w:w="1985" w:type="dxa"/>
            <w:shd w:val="clear" w:color="auto" w:fill="auto"/>
          </w:tcPr>
          <w:p w14:paraId="2B055EDB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1843" w:type="dxa"/>
            <w:shd w:val="clear" w:color="auto" w:fill="auto"/>
          </w:tcPr>
          <w:p w14:paraId="0814C02B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Алгоритм расчета</w:t>
            </w:r>
          </w:p>
        </w:tc>
        <w:tc>
          <w:tcPr>
            <w:tcW w:w="1701" w:type="dxa"/>
            <w:shd w:val="clear" w:color="auto" w:fill="auto"/>
          </w:tcPr>
          <w:p w14:paraId="1F1CE579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Описание показателей</w:t>
            </w:r>
          </w:p>
        </w:tc>
      </w:tr>
      <w:tr w:rsidR="00246ED7" w:rsidRPr="00246ED7" w14:paraId="799B62CD" w14:textId="77777777" w:rsidTr="00246ED7">
        <w:tc>
          <w:tcPr>
            <w:tcW w:w="567" w:type="dxa"/>
            <w:shd w:val="clear" w:color="auto" w:fill="auto"/>
          </w:tcPr>
          <w:p w14:paraId="2AAEF3F5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14D1CE1B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30" w:type="dxa"/>
            <w:shd w:val="clear" w:color="auto" w:fill="auto"/>
          </w:tcPr>
          <w:p w14:paraId="4FDC9BF4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Финансовое управление администрации Левокумского муниципального округа</w:t>
            </w:r>
          </w:p>
          <w:p w14:paraId="5D57B7AE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Ставропольского края (далее - </w:t>
            </w:r>
            <w:r w:rsidRPr="00246ED7">
              <w:rPr>
                <w:rFonts w:ascii="Times New Roman" w:hAnsi="Times New Roman" w:cs="Times New Roman"/>
              </w:rPr>
              <w:lastRenderedPageBreak/>
              <w:t>финансовое управление)</w:t>
            </w:r>
          </w:p>
        </w:tc>
        <w:tc>
          <w:tcPr>
            <w:tcW w:w="1842" w:type="dxa"/>
            <w:shd w:val="clear" w:color="auto" w:fill="auto"/>
          </w:tcPr>
          <w:p w14:paraId="092E7877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lastRenderedPageBreak/>
              <w:t>1 13 01994 14 1000 130</w:t>
            </w:r>
          </w:p>
        </w:tc>
        <w:tc>
          <w:tcPr>
            <w:tcW w:w="2268" w:type="dxa"/>
            <w:shd w:val="clear" w:color="auto" w:fill="auto"/>
          </w:tcPr>
          <w:p w14:paraId="56D01012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средств бюджетов муниципальных округов, в части </w:t>
            </w:r>
            <w:r w:rsidRPr="00246ED7">
              <w:rPr>
                <w:rFonts w:ascii="Times New Roman" w:hAnsi="Times New Roman" w:cs="Times New Roman"/>
              </w:rPr>
              <w:lastRenderedPageBreak/>
              <w:t>доходов казенных учреждений</w:t>
            </w:r>
          </w:p>
        </w:tc>
        <w:tc>
          <w:tcPr>
            <w:tcW w:w="2268" w:type="dxa"/>
            <w:shd w:val="clear" w:color="auto" w:fill="auto"/>
          </w:tcPr>
          <w:p w14:paraId="07056E24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lastRenderedPageBreak/>
              <w:t>Метод прямого расчета</w:t>
            </w:r>
          </w:p>
        </w:tc>
        <w:tc>
          <w:tcPr>
            <w:tcW w:w="1985" w:type="dxa"/>
            <w:shd w:val="clear" w:color="auto" w:fill="auto"/>
          </w:tcPr>
          <w:p w14:paraId="765F0842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Опу = Кпу х Рпу</w:t>
            </w:r>
          </w:p>
        </w:tc>
        <w:tc>
          <w:tcPr>
            <w:tcW w:w="1843" w:type="dxa"/>
            <w:shd w:val="clear" w:color="auto" w:fill="auto"/>
          </w:tcPr>
          <w:p w14:paraId="36CCBA1F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Расчет производится в соответствии с динамикой поступлений данных доходов за три отчетных года, предшествующи</w:t>
            </w:r>
            <w:r w:rsidRPr="00246ED7">
              <w:rPr>
                <w:rFonts w:ascii="Times New Roman" w:hAnsi="Times New Roman" w:cs="Times New Roman"/>
              </w:rPr>
              <w:lastRenderedPageBreak/>
              <w:t>х текущему финансовому году, согласно отчетам об исполнении бюджета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14:paraId="670D11B3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lastRenderedPageBreak/>
              <w:t>Опу – прогнозный объем поступлений от оказания платных услуг;</w:t>
            </w:r>
          </w:p>
          <w:p w14:paraId="7B6CE314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Кпу – количество </w:t>
            </w:r>
            <w:r w:rsidRPr="00246ED7">
              <w:rPr>
                <w:rFonts w:ascii="Times New Roman" w:hAnsi="Times New Roman" w:cs="Times New Roman"/>
              </w:rPr>
              <w:lastRenderedPageBreak/>
              <w:t>оказываемых платных услуг;</w:t>
            </w:r>
          </w:p>
          <w:p w14:paraId="1B507B6A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Рпу – стоимость оказываемых платных услуг</w:t>
            </w:r>
          </w:p>
        </w:tc>
      </w:tr>
      <w:tr w:rsidR="00577C44" w:rsidRPr="00246ED7" w14:paraId="19609091" w14:textId="77777777" w:rsidTr="00246ED7">
        <w:tc>
          <w:tcPr>
            <w:tcW w:w="567" w:type="dxa"/>
            <w:shd w:val="clear" w:color="auto" w:fill="auto"/>
          </w:tcPr>
          <w:p w14:paraId="2F95EE76" w14:textId="22137FFD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51" w:type="dxa"/>
            <w:shd w:val="clear" w:color="auto" w:fill="auto"/>
          </w:tcPr>
          <w:p w14:paraId="25E9DF8A" w14:textId="1BE71001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30" w:type="dxa"/>
            <w:shd w:val="clear" w:color="auto" w:fill="auto"/>
          </w:tcPr>
          <w:p w14:paraId="18316D3A" w14:textId="4A8A4646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 w:rsidRPr="00577C44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842" w:type="dxa"/>
            <w:shd w:val="clear" w:color="auto" w:fill="auto"/>
          </w:tcPr>
          <w:p w14:paraId="3B381779" w14:textId="00A7C9DF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2268" w:type="dxa"/>
            <w:shd w:val="clear" w:color="auto" w:fill="auto"/>
          </w:tcPr>
          <w:p w14:paraId="71E948C8" w14:textId="2943D485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 w:rsidRPr="00577C44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8" w:type="dxa"/>
            <w:shd w:val="clear" w:color="auto" w:fill="auto"/>
          </w:tcPr>
          <w:p w14:paraId="1D9A19F8" w14:textId="1242F29F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 w:rsidRPr="00577C44">
              <w:rPr>
                <w:rFonts w:ascii="Times New Roman" w:hAnsi="Times New Roman" w:cs="Times New Roman"/>
              </w:rPr>
              <w:t>Усредненный метод расчета</w:t>
            </w:r>
          </w:p>
        </w:tc>
        <w:tc>
          <w:tcPr>
            <w:tcW w:w="1985" w:type="dxa"/>
            <w:shd w:val="clear" w:color="auto" w:fill="auto"/>
          </w:tcPr>
          <w:p w14:paraId="3BE2F591" w14:textId="6698281B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О = (Д1 + Д2 + Д3)</w:t>
            </w:r>
          </w:p>
        </w:tc>
        <w:tc>
          <w:tcPr>
            <w:tcW w:w="1843" w:type="dxa"/>
            <w:shd w:val="clear" w:color="auto" w:fill="auto"/>
          </w:tcPr>
          <w:p w14:paraId="0CF3978B" w14:textId="307C65FE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Источником данных служит отчет об исполнении бюджета</w:t>
            </w:r>
          </w:p>
        </w:tc>
        <w:tc>
          <w:tcPr>
            <w:tcW w:w="1701" w:type="dxa"/>
            <w:shd w:val="clear" w:color="auto" w:fill="auto"/>
          </w:tcPr>
          <w:p w14:paraId="4A4FA9D5" w14:textId="77777777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Источником данных служит отчет об исполнении бюджета</w:t>
            </w:r>
          </w:p>
          <w:p w14:paraId="6D3338C0" w14:textId="77777777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О – прогнозируемый объем поступлений доходов;</w:t>
            </w:r>
          </w:p>
          <w:p w14:paraId="78095721" w14:textId="61151EED" w:rsidR="00577C44" w:rsidRPr="00246ED7" w:rsidRDefault="00577C44" w:rsidP="00577C44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Д1, Д2, Д3 – доходы, поступившие за 3 предшествующих прогнозированию года</w:t>
            </w:r>
          </w:p>
        </w:tc>
      </w:tr>
      <w:tr w:rsidR="00246ED7" w:rsidRPr="00246ED7" w14:paraId="2B57135D" w14:textId="77777777" w:rsidTr="00246ED7">
        <w:tc>
          <w:tcPr>
            <w:tcW w:w="567" w:type="dxa"/>
            <w:shd w:val="clear" w:color="auto" w:fill="auto"/>
          </w:tcPr>
          <w:p w14:paraId="592A55BF" w14:textId="66B34993" w:rsidR="00246ED7" w:rsidRPr="00246ED7" w:rsidRDefault="00577C44" w:rsidP="0024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6ED7" w:rsidRPr="00246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8286338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30" w:type="dxa"/>
            <w:shd w:val="clear" w:color="auto" w:fill="auto"/>
          </w:tcPr>
          <w:p w14:paraId="50732539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42" w:type="dxa"/>
            <w:shd w:val="clear" w:color="auto" w:fill="auto"/>
          </w:tcPr>
          <w:p w14:paraId="6C67D94A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1 16 10031 14 0000 140</w:t>
            </w:r>
          </w:p>
        </w:tc>
        <w:tc>
          <w:tcPr>
            <w:tcW w:w="2268" w:type="dxa"/>
            <w:shd w:val="clear" w:color="auto" w:fill="auto"/>
          </w:tcPr>
          <w:p w14:paraId="6707E710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</w:t>
            </w:r>
            <w:r w:rsidRPr="00246ED7">
              <w:rPr>
                <w:rFonts w:ascii="Times New Roman" w:hAnsi="Times New Roman" w:cs="Times New Roman"/>
              </w:rPr>
              <w:lastRenderedPageBreak/>
              <w:t>ми выступают получатели средств бюджета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14:paraId="35384254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lastRenderedPageBreak/>
              <w:t>Усредненный метод расчета</w:t>
            </w:r>
          </w:p>
        </w:tc>
        <w:tc>
          <w:tcPr>
            <w:tcW w:w="1985" w:type="dxa"/>
            <w:shd w:val="clear" w:color="auto" w:fill="auto"/>
          </w:tcPr>
          <w:p w14:paraId="4A557179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О = (Д1 + Д2 + Д3)</w:t>
            </w:r>
          </w:p>
        </w:tc>
        <w:tc>
          <w:tcPr>
            <w:tcW w:w="1843" w:type="dxa"/>
            <w:shd w:val="clear" w:color="auto" w:fill="auto"/>
          </w:tcPr>
          <w:p w14:paraId="4AEF0A72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Источником данных служит отчет об исполнении бюджета</w:t>
            </w:r>
          </w:p>
        </w:tc>
        <w:tc>
          <w:tcPr>
            <w:tcW w:w="1701" w:type="dxa"/>
            <w:shd w:val="clear" w:color="auto" w:fill="auto"/>
          </w:tcPr>
          <w:p w14:paraId="4F7088EF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Источником данных служит отчет об исполнении бюджета</w:t>
            </w:r>
          </w:p>
          <w:p w14:paraId="2B422AA4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lastRenderedPageBreak/>
              <w:t>О – прогнозируемый объем поступлений доходов;</w:t>
            </w:r>
          </w:p>
          <w:p w14:paraId="246AAC0C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Д1, Д2, Д3 – доходы, поступившие за 3 предшествующих прогнозированию года</w:t>
            </w:r>
          </w:p>
        </w:tc>
      </w:tr>
      <w:tr w:rsidR="00246ED7" w:rsidRPr="00246ED7" w14:paraId="4A67FA9E" w14:textId="77777777" w:rsidTr="00246ED7">
        <w:tc>
          <w:tcPr>
            <w:tcW w:w="567" w:type="dxa"/>
            <w:shd w:val="clear" w:color="auto" w:fill="auto"/>
          </w:tcPr>
          <w:p w14:paraId="468EA9CE" w14:textId="1E43A27F" w:rsidR="00246ED7" w:rsidRPr="00246ED7" w:rsidRDefault="00577C44" w:rsidP="0024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46ED7" w:rsidRPr="00246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A152790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30" w:type="dxa"/>
            <w:shd w:val="clear" w:color="auto" w:fill="auto"/>
          </w:tcPr>
          <w:p w14:paraId="489BB673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42" w:type="dxa"/>
            <w:shd w:val="clear" w:color="auto" w:fill="auto"/>
          </w:tcPr>
          <w:p w14:paraId="18B32C47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2268" w:type="dxa"/>
            <w:shd w:val="clear" w:color="auto" w:fill="auto"/>
          </w:tcPr>
          <w:p w14:paraId="2CB652BF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68" w:type="dxa"/>
            <w:shd w:val="clear" w:color="auto" w:fill="auto"/>
          </w:tcPr>
          <w:p w14:paraId="699130A4" w14:textId="1B60B846" w:rsidR="00246ED7" w:rsidRPr="00246ED7" w:rsidRDefault="003A78D3" w:rsidP="0024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203F9D2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D939287" w14:textId="5F033816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В соответствии с требованиями приказа Министерства финансов РФ от 13.04.2020 г. № 66Н </w:t>
            </w:r>
            <w:r w:rsidR="003A78D3" w:rsidRPr="00246ED7">
              <w:rPr>
                <w:rFonts w:ascii="Times New Roman" w:hAnsi="Times New Roman" w:cs="Times New Roman"/>
              </w:rPr>
              <w:t>«Об</w:t>
            </w:r>
            <w:r w:rsidRPr="00246ED7">
              <w:rPr>
                <w:rFonts w:ascii="Times New Roman" w:hAnsi="Times New Roman" w:cs="Times New Roman"/>
              </w:rPr>
              <w:t xml:space="preserve"> утверждении Порядка учета Федеральным казначейством поступлений в бюджетную смету РФ их распределения между бюджетами бюджетной сметы» </w:t>
            </w:r>
            <w:r w:rsidRPr="00246ED7">
              <w:rPr>
                <w:rFonts w:ascii="Times New Roman" w:hAnsi="Times New Roman" w:cs="Times New Roman"/>
              </w:rPr>
              <w:lastRenderedPageBreak/>
              <w:t>невыясненные поступления подлежат уточнению по назначению. На очередной финансовый год и планируемый период прогнозируемые объемы невыясненных поступлений не рассчитываются.</w:t>
            </w:r>
          </w:p>
        </w:tc>
        <w:tc>
          <w:tcPr>
            <w:tcW w:w="1701" w:type="dxa"/>
            <w:shd w:val="clear" w:color="auto" w:fill="auto"/>
          </w:tcPr>
          <w:p w14:paraId="51692973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lastRenderedPageBreak/>
              <w:t>Бюджетная отчетность</w:t>
            </w:r>
          </w:p>
        </w:tc>
      </w:tr>
      <w:tr w:rsidR="00246ED7" w:rsidRPr="00246ED7" w14:paraId="1C63528D" w14:textId="77777777" w:rsidTr="00246ED7">
        <w:tc>
          <w:tcPr>
            <w:tcW w:w="567" w:type="dxa"/>
            <w:shd w:val="clear" w:color="auto" w:fill="auto"/>
          </w:tcPr>
          <w:p w14:paraId="12065113" w14:textId="3B2FD910" w:rsidR="00246ED7" w:rsidRPr="00246ED7" w:rsidRDefault="00577C44" w:rsidP="0024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46ED7" w:rsidRPr="00246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760F8EE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30" w:type="dxa"/>
            <w:shd w:val="clear" w:color="auto" w:fill="auto"/>
          </w:tcPr>
          <w:p w14:paraId="7E3A90AF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42" w:type="dxa"/>
            <w:shd w:val="clear" w:color="auto" w:fill="auto"/>
          </w:tcPr>
          <w:p w14:paraId="27CD7BB1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2 18 04010 14 0000 150</w:t>
            </w:r>
          </w:p>
        </w:tc>
        <w:tc>
          <w:tcPr>
            <w:tcW w:w="2268" w:type="dxa"/>
            <w:shd w:val="clear" w:color="auto" w:fill="auto"/>
          </w:tcPr>
          <w:p w14:paraId="110F015B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shd w:val="clear" w:color="auto" w:fill="auto"/>
          </w:tcPr>
          <w:p w14:paraId="07B3C18D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614E843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B1F01FF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не прогнозируется и принимается равным нулю</w:t>
            </w:r>
          </w:p>
        </w:tc>
        <w:tc>
          <w:tcPr>
            <w:tcW w:w="1701" w:type="dxa"/>
            <w:shd w:val="clear" w:color="auto" w:fill="auto"/>
          </w:tcPr>
          <w:p w14:paraId="2F9C5B32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</w:tr>
      <w:tr w:rsidR="00246ED7" w:rsidRPr="00246ED7" w14:paraId="7ED11861" w14:textId="77777777" w:rsidTr="00246ED7">
        <w:tc>
          <w:tcPr>
            <w:tcW w:w="567" w:type="dxa"/>
            <w:shd w:val="clear" w:color="auto" w:fill="auto"/>
          </w:tcPr>
          <w:p w14:paraId="2962A658" w14:textId="62A860AE" w:rsidR="00246ED7" w:rsidRPr="00246ED7" w:rsidRDefault="00577C44" w:rsidP="0024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46ED7" w:rsidRPr="00246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8943D82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30" w:type="dxa"/>
            <w:shd w:val="clear" w:color="auto" w:fill="auto"/>
          </w:tcPr>
          <w:p w14:paraId="7A087F43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42" w:type="dxa"/>
            <w:shd w:val="clear" w:color="auto" w:fill="auto"/>
          </w:tcPr>
          <w:p w14:paraId="330721C8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2 18 04020 14 0000 150</w:t>
            </w:r>
          </w:p>
        </w:tc>
        <w:tc>
          <w:tcPr>
            <w:tcW w:w="2268" w:type="dxa"/>
            <w:shd w:val="clear" w:color="auto" w:fill="auto"/>
          </w:tcPr>
          <w:p w14:paraId="33A7B39F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2268" w:type="dxa"/>
            <w:shd w:val="clear" w:color="auto" w:fill="auto"/>
          </w:tcPr>
          <w:p w14:paraId="43A2BCEB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5365B43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157F5A7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не прогнозируется и принимается равным нулю</w:t>
            </w:r>
          </w:p>
        </w:tc>
        <w:tc>
          <w:tcPr>
            <w:tcW w:w="1701" w:type="dxa"/>
            <w:shd w:val="clear" w:color="auto" w:fill="auto"/>
          </w:tcPr>
          <w:p w14:paraId="4677D91D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</w:tr>
      <w:tr w:rsidR="00246ED7" w:rsidRPr="00246ED7" w14:paraId="26444368" w14:textId="77777777" w:rsidTr="00246ED7">
        <w:tc>
          <w:tcPr>
            <w:tcW w:w="567" w:type="dxa"/>
            <w:shd w:val="clear" w:color="auto" w:fill="auto"/>
          </w:tcPr>
          <w:p w14:paraId="36A14231" w14:textId="257411E3" w:rsidR="00246ED7" w:rsidRPr="00246ED7" w:rsidRDefault="00577C44" w:rsidP="0024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46ED7" w:rsidRPr="00246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3751C81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30" w:type="dxa"/>
            <w:shd w:val="clear" w:color="auto" w:fill="auto"/>
          </w:tcPr>
          <w:p w14:paraId="1ED35E60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42" w:type="dxa"/>
            <w:shd w:val="clear" w:color="auto" w:fill="auto"/>
          </w:tcPr>
          <w:p w14:paraId="2DD856BA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2 08 04000 14 0000 150</w:t>
            </w:r>
          </w:p>
        </w:tc>
        <w:tc>
          <w:tcPr>
            <w:tcW w:w="2268" w:type="dxa"/>
            <w:shd w:val="clear" w:color="auto" w:fill="auto"/>
          </w:tcPr>
          <w:p w14:paraId="5F83ECD8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Перечисления из бюджетов муниципальных округов (в бюджеты </w:t>
            </w:r>
            <w:r w:rsidRPr="00246ED7">
              <w:rPr>
                <w:rFonts w:ascii="Times New Roman" w:hAnsi="Times New Roman" w:cs="Times New Roman"/>
              </w:rPr>
              <w:lastRenderedPageBreak/>
              <w:t>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shd w:val="clear" w:color="auto" w:fill="auto"/>
          </w:tcPr>
          <w:p w14:paraId="6321FB0D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auto"/>
          </w:tcPr>
          <w:p w14:paraId="29A900BC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38DEC0F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не прогнозируется </w:t>
            </w:r>
            <w:r w:rsidRPr="00246ED7">
              <w:rPr>
                <w:rFonts w:ascii="Times New Roman" w:hAnsi="Times New Roman" w:cs="Times New Roman"/>
              </w:rPr>
              <w:lastRenderedPageBreak/>
              <w:t>и принимается равным нулю</w:t>
            </w:r>
          </w:p>
        </w:tc>
        <w:tc>
          <w:tcPr>
            <w:tcW w:w="1701" w:type="dxa"/>
            <w:shd w:val="clear" w:color="auto" w:fill="auto"/>
          </w:tcPr>
          <w:p w14:paraId="06A5EB65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</w:tr>
      <w:tr w:rsidR="00246ED7" w:rsidRPr="00246ED7" w14:paraId="33B8F9A4" w14:textId="77777777" w:rsidTr="00246ED7">
        <w:tc>
          <w:tcPr>
            <w:tcW w:w="567" w:type="dxa"/>
            <w:shd w:val="clear" w:color="auto" w:fill="auto"/>
          </w:tcPr>
          <w:p w14:paraId="23DAABB9" w14:textId="347A26C6" w:rsidR="00246ED7" w:rsidRPr="00246ED7" w:rsidRDefault="00577C44" w:rsidP="0024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246ED7" w:rsidRPr="00246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6FAA1DD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30" w:type="dxa"/>
            <w:shd w:val="clear" w:color="auto" w:fill="auto"/>
          </w:tcPr>
          <w:p w14:paraId="282063F8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42" w:type="dxa"/>
            <w:shd w:val="clear" w:color="auto" w:fill="auto"/>
          </w:tcPr>
          <w:p w14:paraId="7DA7DBE9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2268" w:type="dxa"/>
            <w:shd w:val="clear" w:color="auto" w:fill="auto"/>
          </w:tcPr>
          <w:p w14:paraId="2BAC6A0A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106CC6CB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Расчет экстраполяции</w:t>
            </w:r>
          </w:p>
        </w:tc>
        <w:tc>
          <w:tcPr>
            <w:tcW w:w="1985" w:type="dxa"/>
            <w:shd w:val="clear" w:color="auto" w:fill="auto"/>
          </w:tcPr>
          <w:p w14:paraId="38132653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1B20A0E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Прогнозирование осуществляется на основании объема расходов местного бюджета за счет безвозмездных поступлений из краевого бюджета</w:t>
            </w:r>
          </w:p>
        </w:tc>
        <w:tc>
          <w:tcPr>
            <w:tcW w:w="1701" w:type="dxa"/>
            <w:shd w:val="clear" w:color="auto" w:fill="auto"/>
          </w:tcPr>
          <w:p w14:paraId="36389500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Сведения об объеме предоставленных Левокумскому муниципальному округу безвозмездных поступлений в соответствии с Законом Ставропольского края « О бюджете Ставропольско</w:t>
            </w:r>
            <w:r w:rsidRPr="00246ED7">
              <w:rPr>
                <w:rFonts w:ascii="Times New Roman" w:hAnsi="Times New Roman" w:cs="Times New Roman"/>
              </w:rPr>
              <w:lastRenderedPageBreak/>
              <w:t xml:space="preserve">го края на очередной финансовый год и плановый период </w:t>
            </w:r>
          </w:p>
        </w:tc>
      </w:tr>
      <w:tr w:rsidR="00246ED7" w:rsidRPr="00246ED7" w14:paraId="0DBB5EB9" w14:textId="77777777" w:rsidTr="00246ED7">
        <w:tc>
          <w:tcPr>
            <w:tcW w:w="567" w:type="dxa"/>
            <w:shd w:val="clear" w:color="auto" w:fill="auto"/>
          </w:tcPr>
          <w:p w14:paraId="5A4DDDD8" w14:textId="01A1A8A9" w:rsidR="00246ED7" w:rsidRPr="00246ED7" w:rsidRDefault="00577C44" w:rsidP="0024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246ED7" w:rsidRPr="00246E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8449C6E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30" w:type="dxa"/>
            <w:shd w:val="clear" w:color="auto" w:fill="auto"/>
          </w:tcPr>
          <w:p w14:paraId="7B32168D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842" w:type="dxa"/>
            <w:shd w:val="clear" w:color="auto" w:fill="auto"/>
          </w:tcPr>
          <w:p w14:paraId="4B982352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2268" w:type="dxa"/>
            <w:shd w:val="clear" w:color="auto" w:fill="auto"/>
          </w:tcPr>
          <w:p w14:paraId="268FE39F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shd w:val="clear" w:color="auto" w:fill="auto"/>
          </w:tcPr>
          <w:p w14:paraId="791C14A3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550B52A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442E127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  <w:r w:rsidRPr="00246ED7">
              <w:rPr>
                <w:rFonts w:ascii="Times New Roman" w:hAnsi="Times New Roman" w:cs="Times New Roman"/>
              </w:rPr>
              <w:t>не прогнозируется и принимается равным нулю</w:t>
            </w:r>
          </w:p>
        </w:tc>
        <w:tc>
          <w:tcPr>
            <w:tcW w:w="1701" w:type="dxa"/>
            <w:shd w:val="clear" w:color="auto" w:fill="auto"/>
          </w:tcPr>
          <w:p w14:paraId="54C4674A" w14:textId="77777777" w:rsidR="00246ED7" w:rsidRPr="00246ED7" w:rsidRDefault="00246ED7" w:rsidP="00246ED7">
            <w:pPr>
              <w:rPr>
                <w:rFonts w:ascii="Times New Roman" w:hAnsi="Times New Roman" w:cs="Times New Roman"/>
              </w:rPr>
            </w:pPr>
          </w:p>
        </w:tc>
      </w:tr>
    </w:tbl>
    <w:p w14:paraId="1DCD4782" w14:textId="77777777" w:rsidR="00246ED7" w:rsidRDefault="00246ED7"/>
    <w:p w14:paraId="2A2755D9" w14:textId="77777777" w:rsidR="003A78D3" w:rsidRDefault="003A78D3" w:rsidP="003A78D3"/>
    <w:p w14:paraId="682D94B4" w14:textId="4322E8F8" w:rsidR="003A78D3" w:rsidRPr="003A78D3" w:rsidRDefault="003A78D3" w:rsidP="003A78D3">
      <w:pPr>
        <w:tabs>
          <w:tab w:val="left" w:pos="3270"/>
        </w:tabs>
        <w:sectPr w:rsidR="003A78D3" w:rsidRPr="003A78D3" w:rsidSect="00246E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  <w:r w:rsidR="00CC0CBE">
        <w:t>________________________________________________________________________________</w:t>
      </w:r>
      <w:bookmarkStart w:id="0" w:name="_GoBack"/>
      <w:bookmarkEnd w:id="0"/>
    </w:p>
    <w:p w14:paraId="37AEB1C1" w14:textId="77777777" w:rsidR="00D96EFF" w:rsidRDefault="00D96EFF" w:rsidP="00246ED7"/>
    <w:sectPr w:rsidR="00D9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0578" w14:textId="77777777" w:rsidR="00450980" w:rsidRDefault="00450980" w:rsidP="00604149">
      <w:pPr>
        <w:spacing w:after="0" w:line="240" w:lineRule="auto"/>
      </w:pPr>
      <w:r>
        <w:separator/>
      </w:r>
    </w:p>
  </w:endnote>
  <w:endnote w:type="continuationSeparator" w:id="0">
    <w:p w14:paraId="78E5C850" w14:textId="77777777" w:rsidR="00450980" w:rsidRDefault="00450980" w:rsidP="0060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E745" w14:textId="77777777" w:rsidR="00450980" w:rsidRDefault="00450980" w:rsidP="00604149">
      <w:pPr>
        <w:spacing w:after="0" w:line="240" w:lineRule="auto"/>
      </w:pPr>
      <w:r>
        <w:separator/>
      </w:r>
    </w:p>
  </w:footnote>
  <w:footnote w:type="continuationSeparator" w:id="0">
    <w:p w14:paraId="631F3A6B" w14:textId="77777777" w:rsidR="00450980" w:rsidRDefault="00450980" w:rsidP="0060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D7"/>
    <w:rsid w:val="000651C6"/>
    <w:rsid w:val="000E740B"/>
    <w:rsid w:val="00246ED7"/>
    <w:rsid w:val="00253852"/>
    <w:rsid w:val="002A3F31"/>
    <w:rsid w:val="003A78D3"/>
    <w:rsid w:val="00450980"/>
    <w:rsid w:val="00577C44"/>
    <w:rsid w:val="005F5848"/>
    <w:rsid w:val="00604149"/>
    <w:rsid w:val="00802565"/>
    <w:rsid w:val="00850039"/>
    <w:rsid w:val="00B52A43"/>
    <w:rsid w:val="00C118AC"/>
    <w:rsid w:val="00C348AE"/>
    <w:rsid w:val="00CC0CBE"/>
    <w:rsid w:val="00D96EFF"/>
    <w:rsid w:val="00D97B77"/>
    <w:rsid w:val="00E707F7"/>
    <w:rsid w:val="00EF47F1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467E"/>
  <w15:chartTrackingRefBased/>
  <w15:docId w15:val="{5C89EF8F-586F-4CFF-8A4D-FE581271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6ED7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46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149"/>
  </w:style>
  <w:style w:type="paragraph" w:styleId="a7">
    <w:name w:val="footer"/>
    <w:basedOn w:val="a"/>
    <w:link w:val="a8"/>
    <w:uiPriority w:val="99"/>
    <w:unhideWhenUsed/>
    <w:rsid w:val="0060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2CD5B21DC56803BD659313D4E9CFEE099C57BB976C09D6DE00D340295952BA2A80FC4BE534C105D62E7DAA54D4DF0F9DF70065C6263121u9R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CD5B21DC56803BD659313D4E9CFEE0E9450BD926E09D6DE00D340295952BA2A80FC4EE134C90E85746DAE1D83DB1394EA1E64D826u3R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2023-11-13T10:45:00Z</cp:lastPrinted>
  <dcterms:created xsi:type="dcterms:W3CDTF">2023-11-13T08:51:00Z</dcterms:created>
  <dcterms:modified xsi:type="dcterms:W3CDTF">2024-11-07T05:42:00Z</dcterms:modified>
</cp:coreProperties>
</file>