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31"/>
        <w:shd w:val="clear" w:fill="ffffff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ar-SA"/>
        </w:rPr>
        <w:t xml:space="preserve"> Контрольно-счетный отдел</w:t>
      </w:r>
    </w:p>
    <w:p>
      <w:pPr>
        <w:pStyle w:val="Style_31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Левокумского муниципального округа</w:t>
      </w:r>
    </w:p>
    <w:p>
      <w:pPr>
        <w:pStyle w:val="Style_31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Ставропольского края</w:t>
      </w:r>
    </w:p>
    <w:p>
      <w:pPr>
        <w:pStyle w:val="Style_31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ar-SA"/>
        </w:rPr>
        <w:t xml:space="preserve"> </w:t>
      </w:r>
    </w:p>
    <w:p>
      <w:pPr>
        <w:shd w:val="clear" w:fill="ffffff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</w:p>
    <w:p>
      <w:pPr>
        <w:shd w:val="clear" w:fill="ffffff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ru-RU" w:bidi="ar-SA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val="ru-RU" w:bidi="ar-SA"/>
        </w:rPr>
        <w:t xml:space="preserve">ПРИКАЗ</w:t>
      </w:r>
    </w:p>
    <w:p>
      <w:pPr>
        <w:shd w:val="clear" w:fill="ffffff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</w:p>
    <w:p>
      <w:pPr>
        <w:shd w:val="clear" w:fill="ffffff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</w:p>
    <w:p>
      <w:pPr>
        <w:shd w:val="clear" w:fill="ffffff"/>
        <w:spacing w:before="0" w:after="0" w:line="240" w:lineRule="auto"/>
        <w:ind w:left="0" w:right="0" w:hanging="15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ar-SA"/>
        </w:rPr>
        <w:t xml:space="preserve">«26» декабря 2020 года              с. Левокумское                                             № 7                                                                                                          </w:t>
      </w:r>
    </w:p>
    <w:p>
      <w:pPr>
        <w:shd w:val="clear" w:fill="ffffff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ar-SA"/>
        </w:rPr>
      </w:pPr>
    </w:p>
    <w:p>
      <w:pPr>
        <w:shd w:val="clear" w:fill="ffffff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</w:p>
    <w:p>
      <w:pPr>
        <w:pStyle w:val="Style_38"/>
        <w:spacing w:before="0" w:after="0" w:line="240" w:lineRule="atLeast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Об утверждении </w:t>
      </w:r>
    </w:p>
    <w:p>
      <w:pPr>
        <w:pStyle w:val="Style_38"/>
        <w:spacing w:before="0" w:after="0" w:line="240" w:lineRule="atLeast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плана работы Контрольно-счетного отдела</w:t>
      </w:r>
    </w:p>
    <w:p>
      <w:pPr>
        <w:pStyle w:val="Style_38"/>
        <w:spacing w:before="0" w:after="0" w:line="240" w:lineRule="atLeast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Левокумского муниципального округа </w:t>
      </w:r>
    </w:p>
    <w:p>
      <w:pPr>
        <w:pStyle w:val="Style_38"/>
        <w:spacing w:before="0" w:after="0" w:line="240" w:lineRule="atLeast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Ставропольского края  на 2021 год </w:t>
      </w:r>
    </w:p>
    <w:p>
      <w:pPr>
        <w:pStyle w:val="Style_38"/>
        <w:spacing w:before="0" w:after="0" w:line="240" w:lineRule="atLeast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</w:p>
    <w:p>
      <w:pPr>
        <w:pStyle w:val="Style_38"/>
        <w:spacing w:before="0" w:after="0" w:line="240" w:lineRule="atLeast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</w:p>
    <w:p>
      <w:pPr>
        <w:tabs>
          <w:tab w:val="left" w:pos="5988"/>
          <w:tab w:val="left" w:pos="7655"/>
        </w:tabs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caps/>
          <w:color w:val="000000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ar-SA"/>
        </w:rPr>
        <w:t xml:space="preserve">Руководствуясь статьей 12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в соответствии с пунктом 4 статьи 9 и статьей 12 Положения о Контрольно-счетном отделе Левокумского муниципального округа Ставропольского края, утвержденного решением Совета Левокумского муниципального округа Ставропольского края от 19.11.2020г. №46, Регламентом Контрольно-счетного отдела Левокумского муниципального округа Ставропольского края, Стандартом организации деятельности Контрольно-счетного отдела Левокумского муниципального округа Ставропольского края </w:t>
      </w:r>
      <w:r>
        <w:rPr>
          <w:rFonts w:ascii="Times New Roman" w:hAnsi="Times New Roman" w:eastAsia="Times New Roman" w:cs="Times New Roman"/>
          <w:caps/>
          <w:color w:val="000000"/>
          <w:sz w:val="28"/>
          <w:szCs w:val="28"/>
          <w:lang w:val="ru-RU" w:bidi="ar-SA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ar-SA"/>
        </w:rPr>
        <w:t xml:space="preserve">Планирование работы Контрольно-счетного отдела Левокумского муниципального округа Ставропольского края</w:t>
      </w:r>
      <w:r>
        <w:rPr>
          <w:rFonts w:ascii="Times New Roman" w:hAnsi="Times New Roman" w:eastAsia="Times New Roman" w:cs="Times New Roman"/>
          <w:caps/>
          <w:color w:val="000000"/>
          <w:sz w:val="28"/>
          <w:szCs w:val="28"/>
          <w:lang w:val="ru-RU" w:bidi="ar-SA"/>
        </w:rPr>
        <w:t xml:space="preserve">», </w:t>
      </w:r>
    </w:p>
    <w:p>
      <w:pPr>
        <w:shd w:val="clear" w:fill="ffffff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ar-SA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ar-SA"/>
        </w:rPr>
        <w:tab/>
      </w:r>
    </w:p>
    <w:p>
      <w:pPr>
        <w:shd w:val="clear" w:fill="ffffff"/>
        <w:tabs>
          <w:tab w:val="left" w:pos="570"/>
        </w:tabs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bidi="ar-SA"/>
        </w:rPr>
        <w:t xml:space="preserve">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ar-SA"/>
        </w:rPr>
        <w:t xml:space="preserve">ПРИКАЗЫВАЮ:</w:t>
      </w:r>
    </w:p>
    <w:p>
      <w:pPr>
        <w:shd w:val="clear" w:fill="ffffff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</w:p>
    <w:p>
      <w:pPr>
        <w:shd w:val="clear" w:fill="ffffff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ar-SA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ar-SA"/>
        </w:rPr>
        <w:t xml:space="preserve">1. Утвердить прилагаемый план работы Контрольно-счетного отдела Левокумского муниципального округа Ставропольского края на 2021 год.</w:t>
      </w:r>
    </w:p>
    <w:p>
      <w:pPr>
        <w:shd w:val="clear" w:fill="ffffff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ar-SA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ar-SA"/>
        </w:rPr>
        <w:t xml:space="preserve">2. Контроль за  исполнением настоящего приказа оставляю за собой.   </w:t>
      </w:r>
    </w:p>
    <w:p>
      <w:pPr>
        <w:shd w:val="clear" w:fill="ffffff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ar-SA"/>
        </w:rPr>
        <w:t xml:space="preserve"> </w:t>
      </w:r>
    </w:p>
    <w:p>
      <w:pPr>
        <w:shd w:val="clear" w:fill="ffffff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Председатель</w:t>
      </w:r>
    </w:p>
    <w:p>
      <w:pPr>
        <w:pStyle w:val="Style_31"/>
        <w:spacing w:before="0" w:after="0" w:line="240" w:lineRule="auto"/>
        <w:ind w:left="360" w:right="0" w:hanging="323"/>
        <w:jc w:val="left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Контрольно-счетного отдела</w:t>
      </w:r>
    </w:p>
    <w:p>
      <w:pPr>
        <w:pStyle w:val="Style_31"/>
        <w:spacing w:before="0" w:after="0" w:line="240" w:lineRule="auto"/>
        <w:ind w:left="360" w:right="0" w:hanging="335"/>
        <w:jc w:val="left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Левокумского муниципального округа</w:t>
      </w:r>
    </w:p>
    <w:p>
      <w:pPr>
        <w:pStyle w:val="Style_31"/>
        <w:spacing w:before="0" w:after="0" w:line="240" w:lineRule="auto"/>
        <w:ind w:left="360" w:right="0" w:hanging="335"/>
        <w:jc w:val="left"/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sectPr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num="1" w:space="720"/>
          <w:docGrid w:linePitch="360"/>
        </w:sect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Ставропольского края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       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И.И. Резинкина</w:t>
      </w:r>
    </w:p>
    <w:p>
      <w:pPr>
        <w:keepNext/>
        <w:keepLines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                                                                                                                                                           </w:t>
      </w:r>
    </w:p>
    <w:p>
      <w:pPr>
        <w:keepNext/>
        <w:keepLines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</w:p>
    <w:p>
      <w:pPr>
        <w:keepNext/>
        <w:keepLines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Приложение</w:t>
      </w:r>
    </w:p>
    <w:p>
      <w:pPr>
        <w:keepNext/>
        <w:keepLines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к приказу от 26.12.2020г. №7</w:t>
      </w:r>
    </w:p>
    <w:p>
      <w:pPr>
        <w:keepNext/>
        <w:keepLines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</w:p>
    <w:p>
      <w:pPr>
        <w:keepNext/>
        <w:keepLines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  </w:t>
      </w:r>
    </w:p>
    <w:p>
      <w:pPr>
        <w:keepNext/>
        <w:keepLines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УТВЕРЖДЕН</w:t>
      </w:r>
    </w:p>
    <w:p>
      <w:pPr>
        <w:keepNext/>
        <w:keepLines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приказом председателя Контрольно-счетного отдела </w:t>
      </w:r>
    </w:p>
    <w:p>
      <w:pPr>
        <w:keepNext/>
        <w:keepLines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Левокумского муниципального округа </w:t>
      </w:r>
    </w:p>
    <w:p>
      <w:pPr>
        <w:keepNext/>
        <w:keepLines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Ставропольского края от 26.12.2020г.  №7  </w:t>
      </w:r>
    </w:p>
    <w:p>
      <w:pPr>
        <w:keepNext/>
        <w:keepLines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</w:p>
    <w:p>
      <w:pPr>
        <w:keepNext/>
        <w:keepLines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</w:p>
    <w:p>
      <w:pPr>
        <w:keepNext/>
        <w:keepLines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      </w:t>
      </w:r>
    </w:p>
    <w:p>
      <w:pPr>
        <w:keepNext/>
        <w:keepLines/>
        <w:tabs>
          <w:tab w:val="center" w:pos="7285"/>
          <w:tab w:val="right" w:pos="14570"/>
        </w:tabs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ПЛАН РАБОТЫ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ab/>
      </w:r>
    </w:p>
    <w:p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Контрольно-счетного отдела Левокумского муниципального округа Ставропольского края</w:t>
      </w:r>
    </w:p>
    <w:p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на 2021 год</w:t>
      </w:r>
    </w:p>
    <w:tbl>
      <w:tblPr>
        <w:tblStyle w:val="Style_11"/>
        <w:tblW w:w="14578" w:type="dxa"/>
        <w:tblInd w:w="-1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" w:type="dxa"/>
          <w:right w:w="10" w:type="dxa"/>
        </w:tblCellMar>
      </w:tblPr>
      <w:tblGrid>
        <w:gridCol w:w="700"/>
        <w:gridCol w:w="6224"/>
        <w:gridCol w:w="2409"/>
        <w:gridCol w:w="2552"/>
        <w:gridCol w:w="2693"/>
      </w:tblGrid>
      <w:tr>
        <w:trPr>
          <w:cantSplit/>
          <w:trHeight w:val="1134"/>
        </w:trP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№ п/п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numPr>
                <w:numId w:val="2"/>
                <w:ilvl w:val="0"/>
              </w:numPr>
              <w:tabs>
                <w:tab w:val="left" w:pos="0"/>
              </w:tabs>
              <w:spacing w:before="0" w:after="0" w:line="240" w:lineRule="auto"/>
              <w:ind w:left="0" w:right="0" w:firstLine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Наименование мероприятия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Срок исполнения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Ответственные за исполнение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Основание для включения мероприятия в план</w:t>
            </w:r>
          </w:p>
        </w:tc>
      </w:tr>
      <w:tr>
        <w:tc>
          <w:tcPr>
            <w:tcW w:w="7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3878" w:type="dxa"/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numPr>
                <w:numId w:val="3"/>
                <w:ilvl w:val="0"/>
              </w:numPr>
              <w:spacing w:before="0" w:after="0" w:line="240" w:lineRule="auto"/>
              <w:ind w:left="720" w:right="0" w:hanging="36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Организационные мероприятия</w:t>
            </w:r>
          </w:p>
        </w:tc>
      </w:tr>
      <w:tr>
        <w:trPr>
          <w:trHeight w:val="2078"/>
        </w:trP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1.1.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Подготовка и представление годового отчета о деятельности за 2020 год в Совет Левокумского муниципального округа Ставропольского края для его заслушивания и утверждения.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февраль- апрель  2021 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Контрольно-счетного отдела Левокумского муниципального округа Ставропольского края (далее-председатель)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ст.9, ст.20  Положения о Контрольно-счетном отделе Левокумского муниципального округа Ставропольского края (далее –Положение о КСО ЛМО СК, КСО ЛМО СК)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1.2.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Подготовка и утверждение плана работы на 2022 год.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 30 декабря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ст.12 Положения о КСО ЛМО СК;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Стандарт КСО ЛМО СК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1.3.</w:t>
            </w:r>
          </w:p>
        </w:tc>
        <w:tc>
          <w:tcPr>
            <w:tcW w:w="6224" w:type="dxa"/>
            <w:tcBorders>
              <w:left w:val="single" w:color="000000" w:sz="4"/>
              <w:bottom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Утверждение квартальных планов работы на 2021 год. </w:t>
            </w:r>
          </w:p>
        </w:tc>
        <w:tc>
          <w:tcPr>
            <w:tcW w:w="2409" w:type="dxa"/>
            <w:tcBorders>
              <w:left w:val="single" w:color="000000" w:sz="4"/>
              <w:bottom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 01 числа первого месяца соответствующего квартала</w:t>
            </w:r>
          </w:p>
        </w:tc>
        <w:tc>
          <w:tcPr>
            <w:tcW w:w="2552" w:type="dxa"/>
            <w:tcBorders>
              <w:left w:val="single" w:color="000000" w:sz="4"/>
              <w:bottom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left w:val="single" w:color="000000" w:sz="4"/>
              <w:bottom w:val="single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ст.12 Положения о КСО ЛМО СК;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Стандарт КСО ЛМО СК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1.4.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Представление информации (отчета) о деятельности за 2020 год  в Представительство Союза муниципальных контрольно-счетных органов в Северо-Кавказском федеральном округе (Союза МКСО в СКФО),  Контрольно-счетную палату Ставропольского края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Январь 2021 года, в срок  предоставления отчета; 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2021 года по запросам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Письма, указания, запросы Представи-тельства Союза МКСО в СКФО,  Контрольно-счетной палаты Ставропольского края, Стандарт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1.5.</w:t>
            </w:r>
          </w:p>
        </w:tc>
        <w:tc>
          <w:tcPr>
            <w:tcW w:w="6224" w:type="dxa"/>
            <w:tcBorders>
              <w:left w:val="single" w:color="000000" w:sz="4"/>
              <w:bottom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Организация и проведение рабочих совещаний </w:t>
            </w:r>
          </w:p>
        </w:tc>
        <w:tc>
          <w:tcPr>
            <w:tcW w:w="2409" w:type="dxa"/>
            <w:tcBorders>
              <w:left w:val="single" w:color="000000" w:sz="4"/>
              <w:bottom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 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 </w:t>
            </w:r>
          </w:p>
        </w:tc>
        <w:tc>
          <w:tcPr>
            <w:tcW w:w="2552" w:type="dxa"/>
            <w:tcBorders>
              <w:left w:val="single" w:color="000000" w:sz="4"/>
              <w:bottom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left w:val="single" w:color="000000" w:sz="4"/>
              <w:bottom w:val="single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Регламент КСО ЛМО СК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1.6.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Предоставление  отчета об использовании межбюджетных трансфертов в Совет Левокумского муниципального округа Ставропольского края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 20 числа месяца, следующего за отчетным периодом,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 20 января 2021 года за 2020 год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Закон Ставропольского края от 31.01.2020 № 10-кз "О преобразовании муниципальных образований, входящих в состав Левокумского муниципального района Ставропольского края, и об организации местного самоуправления на территории Левокумского района Ставропольского края"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1.7.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Участие в работе Совета Левокумского муниципального округа Ставропольского края и его комиссиях, в рабочих совещаниях, проводимых Администрацией Левокумского муниципального округа Ставропольского края.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Постоянно,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  по плану работы Совета ЛМО СК, Администрации ЛМО СК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 19 Положения о КСО ЛМО СК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1.8.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Рассмотрение запросов и обращений по вопросам, отнесенным к компетенции КСО ЛМО СК.    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Постоянно, в течение 2021 года при поступлении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Положение о КСО ЛМО СК;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ФЗ от 02.05.2006г. №59-ФЗ «О порядке рассмотрения обращения граждан РФ»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1.9.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Ведение кадровой работы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в соответствии с требованиями действующего законодательства.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постоянно,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ТК РФ; ст.28 Закона 25-ФЗ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1.10.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мероприятий по охране труда и технике безопасности, включая оформление соответствующей документации.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2021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ТК РФ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1.11.</w:t>
            </w:r>
          </w:p>
        </w:tc>
        <w:tc>
          <w:tcPr>
            <w:tcW w:w="6224" w:type="dxa"/>
            <w:tcBorders>
              <w:left w:val="single" w:color="000000" w:sz="4"/>
              <w:bottom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Разработка номенклатуры дел </w:t>
            </w:r>
          </w:p>
        </w:tc>
        <w:tc>
          <w:tcPr>
            <w:tcW w:w="2409" w:type="dxa"/>
            <w:tcBorders>
              <w:left w:val="single" w:color="000000" w:sz="4"/>
              <w:bottom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Январь 2021 года</w:t>
            </w:r>
          </w:p>
        </w:tc>
        <w:tc>
          <w:tcPr>
            <w:tcW w:w="2552" w:type="dxa"/>
            <w:tcBorders>
              <w:left w:val="single" w:color="000000" w:sz="4"/>
              <w:bottom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 </w:t>
            </w:r>
          </w:p>
        </w:tc>
        <w:tc>
          <w:tcPr>
            <w:tcW w:w="2693" w:type="dxa"/>
            <w:tcBorders>
              <w:left w:val="single" w:color="000000" w:sz="4"/>
              <w:bottom w:val="single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Приказ Росархива, в соответствии с Перечнем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1.12.</w:t>
            </w:r>
          </w:p>
        </w:tc>
        <w:tc>
          <w:tcPr>
            <w:tcW w:w="6224" w:type="dxa"/>
            <w:tcBorders>
              <w:left w:val="single" w:color="000000" w:sz="4"/>
              <w:bottom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Ведение архива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 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Регламент КСО ЛМО СК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1.13.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Подготовка  документов на хранение в архив.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 полугодие 2021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Федерального закона от 22.10.2004г. №125-ФЗ «Об архивном деле в Российской Федерации»</w:t>
            </w:r>
          </w:p>
        </w:tc>
      </w:tr>
      <w:tr>
        <w:tc>
          <w:tcPr>
            <w:tcW w:w="14578" w:type="dxa"/>
            <w:gridSpan w:val="5"/>
            <w:tcBorders>
              <w:top w:val="single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numPr>
                <w:numId w:val="3"/>
                <w:ilvl w:val="0"/>
              </w:numPr>
              <w:spacing w:before="0" w:after="0" w:line="240" w:lineRule="auto"/>
              <w:ind w:left="720" w:right="0" w:hanging="36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Контрольные мероприятия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проверок по поручению главы Левокумского муниципального округа Ставропольского края.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года, по мере поступления поручений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ст.12 Положения о КСО ЛМО СК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2.2.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проверок по поручению Совета Левокумского муниципального округа  Ставропольского края.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года, по мере поступления поручений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ст.12 Положения о КСО ЛМО СК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2.3.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Проверка законности и результативности использования бюджетных средств в 2019-2020 годах, в том числе на осуществление закупочной деятельности по муниципальному казенному общеобразовательному учреждению «Средняя общеобразовательная школа №3» п. Новокумский.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Февраль  2021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КСО ЛМО СК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2.4.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Проверка достоверности, полноты и соответствия нормативным требованиям составления и предоставления бюджетной отчетности  главных администраторов бюджетных  средств  Левокумского муниципального района Ставропольского края за 2020 год.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Март 2021 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ст.264.4 , ст.268.1 БК РФ;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КСО ЛМО СК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2.5.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Проверка законности, эффективности (экономности и результативности) использования бюджетных средств, выделенных на финансовое обеспечение муниципального задания, и средств, полученных от приносящей доход деятельности, соблюдения установленного порядка учета и эффективности использования муниципального имущества за 2019 и 2020 года и 1 квартал 2021 года в  МБУ Левокумского муниципального округа Ставропольского края «Многофункциональный центр  предоставления государственных и муниципальных услуг».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Май-июнь 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КСО ЛМО СК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2.6.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Проверка законности и результативности использования бюджетных средств, в том числе на осуществление закупочной деятельности в 2019-2020 годах в муниципальном дошкольном образовательном учреждении «Детский сад  общеразвивающего вида с приоритетным осуществлением художественно-эстетического направления в развитии детей №3» с. Левокумское. 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Июль 2021 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КСО ЛМО СК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2.7.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Проверка целевого и эффективного использования бюджетных средств, выделенных на организацию питания в 2019 - 2020 годах и истекшем периоде 2021 года в МКДОУ «Центр развития ребенка- детский сад №22» с. Левокумское.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Август –сентябрь 2021 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КСО ЛМО СК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2.8.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Проверка  законности и результативности использования бюджетных средств и имущества муниципальным казенным учреждением дополнительного образования  «Детско-юношеская спортивная школа "Ника» в 2019 – 2020 годах.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Сентябрь-октябрь 2021 года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КСО ЛМО СК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2.9.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контрольных мероприятий по поручению Союза муниципальных контрольно-счетных органов (Союз МКСО).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 мере поступления поручения в течение 2021 года 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ст.19   Положения о КСО ЛМО СК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2.10.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совместных (параллельных) контрольных мероприятий с Контрольно-счетной палатой Ставропольского края.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 мере поступления поручения в течение 2021 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ст.19   Положения о КСО ЛМО СК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2.11.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проверок по требованию прокуратуры Левокумского района.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 мере поступления поручения в течение 2021 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ФЗ «О прокуратуре Российской Федерации»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2.12.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Контроль за выполнением представлений (предписаний), предложений, направляемых по результатам проверок руководителям проверенных органов и организаций.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2021 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Ст.8,17 Положения о КСО ЛМО СК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2.13.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рабочих совещаний с представителями объектов контроля по результатам проведенных мероприятий.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hanging="108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В течение  2021года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ч. 2 ст. 157 БК РФ;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п. 8 ч. 2 ст. 9 Закона №6-ФЗ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2.14.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Анализ информации о результатах выполнения предложений и рекомендаций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2021 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Положение о КСО ЛМО СК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2.15.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Взаимодействие с прокуратурой, правоохранительными органами по выявлению и пресечению правонарушений в финансово-бюджетной сфере, направление сведений о проведенных мероприятиях.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года,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случае выявления фактов незаконного использования бюджетных средств  и коррупционных правонарушений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п.8 ст. 16 Закона №6-ФЗ</w:t>
            </w:r>
          </w:p>
        </w:tc>
      </w:tr>
      <w:tr>
        <w:tc>
          <w:tcPr>
            <w:tcW w:w="14578" w:type="dxa"/>
            <w:gridSpan w:val="5"/>
            <w:tcBorders>
              <w:top w:val="single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3. Экспертно-аналитическая деятельность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3.1.</w:t>
            </w:r>
          </w:p>
        </w:tc>
        <w:tc>
          <w:tcPr>
            <w:tcW w:w="6224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  <w:t xml:space="preserve">Экспертиза проектов решений и иных нормативных актов, регулирующих бюджетные правоотношения.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  <w:t xml:space="preserve">  </w:t>
            </w:r>
          </w:p>
        </w:tc>
        <w:tc>
          <w:tcPr>
            <w:tcW w:w="2409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течение 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года, при поступлении</w:t>
            </w:r>
          </w:p>
        </w:tc>
        <w:tc>
          <w:tcPr>
            <w:tcW w:w="2552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top w:val="single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ч.2.ст157 БК РФ; Положение о КСО ЛМО СК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3.2.</w:t>
            </w:r>
          </w:p>
        </w:tc>
        <w:tc>
          <w:tcPr>
            <w:tcW w:w="6224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  <w:t xml:space="preserve">Финансово-экономическая экспертиза проектов муниципальных правовых актов  в части, касающейся расходных обязательств муниципального округа</w:t>
            </w:r>
          </w:p>
        </w:tc>
        <w:tc>
          <w:tcPr>
            <w:tcW w:w="2409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течение 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года, при поступлении</w:t>
            </w:r>
          </w:p>
        </w:tc>
        <w:tc>
          <w:tcPr>
            <w:tcW w:w="2552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top w:val="single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Положение о КСО ЛМО СК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3.3.</w:t>
            </w:r>
          </w:p>
        </w:tc>
        <w:tc>
          <w:tcPr>
            <w:tcW w:w="6224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  <w:t xml:space="preserve">Экспертиза муниципальных программ Левокумского муниципального округа Ставропольского края</w:t>
            </w:r>
          </w:p>
        </w:tc>
        <w:tc>
          <w:tcPr>
            <w:tcW w:w="2409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течение 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года, при поступлении</w:t>
            </w:r>
          </w:p>
        </w:tc>
        <w:tc>
          <w:tcPr>
            <w:tcW w:w="2552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693" w:type="dxa"/>
            <w:tcBorders>
              <w:top w:val="single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ч.2.ст157 БК РФ; Положение о КСО ЛМО СК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3.4.</w:t>
            </w:r>
          </w:p>
        </w:tc>
        <w:tc>
          <w:tcPr>
            <w:tcW w:w="6224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  <w:t xml:space="preserve">Экспертиза проектов решений и иных нормативных актов по вопросам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  <w:t xml:space="preserve">управления  и распоряжения имуществом, находящимся в собственности Левокумского муниципального округа Ставропольского края, вносимых на рассмотрение  Совета Левокумского муниципального округа Ставропольского края и отнесенных к компетенции Контрольно-счетного отдела Левокумского муниципального округа Ставропольского края.</w:t>
            </w:r>
          </w:p>
        </w:tc>
        <w:tc>
          <w:tcPr>
            <w:tcW w:w="2409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течение 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года, при поступлении</w:t>
            </w:r>
          </w:p>
        </w:tc>
        <w:tc>
          <w:tcPr>
            <w:tcW w:w="2552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top w:val="single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Положение о КСО ЛМО СК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3.5.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Внешняя проверка годового отчета об исполнении бюджета Левокумского муниципального района Ставропольского края за 2020 год  и подготовка заключения.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Апрель 2021 года (до 01.05.2021г.)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 264.4 БК РФ;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КСО ЛМО СК</w:t>
            </w:r>
          </w:p>
        </w:tc>
      </w:tr>
      <w:tr>
        <w:trPr>
          <w:trHeight w:val="765"/>
        </w:trP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3.6.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Внешняя проверка годовых отчетов об исполнении бюджетов за 2020 год 11 поселений Левокумского района и подготовка  соответствующих заключений. 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Апрель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 264.4 БК РФ;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КСО ЛМО СК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3.7.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Ежеквартальный анализ исполнения бюджета Левокумского муниципального округа Ставропольского края за 2021 год.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 квартал 2021 года -май 2021 года;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 полугодие 2021 года-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август- 2021 года;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9 месяцев 2021 года - ноябрь 2021 года 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 268.1 БК РФ;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Положение о  КСО ЛМО СК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3.8.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8fdff"/>
                <w:lang w:val="ru-RU" w:bidi="ru-RU"/>
              </w:rPr>
              <w:t xml:space="preserve">Э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кспертиза проектов решений Совета Левокумского муниципального округа Ставропольского края «О внесении изменений в  бюджет Левокумского муниципального округа Ставропольского края на 2021 год и  плановый период 2022 и 2023 годов».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 мере поступления в течение 2021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БК РФ; ст.8 Положения о  КСО ЛМО СК</w:t>
            </w:r>
          </w:p>
        </w:tc>
      </w:tr>
      <w:tr>
        <w:trPr>
          <w:trHeight w:val="871"/>
        </w:trP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3.9.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Экспертиза проекта решения Совета Левокумского муниципального округа Ставропольского края «О бюджете Левокумского муниципального округа Ставропольского края  на 2022 год и плановый период 2023 и 2024 годов».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Ноябрь-Декабрь 2021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ч.1 ст.157 БК РФ;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 КСО ЛМО СК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3.10.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_42"/>
              <w:spacing w:before="0" w:after="0" w:line="240" w:lineRule="auto"/>
              <w:ind w:left="0" w:right="0" w:firstLine="0"/>
              <w:jc w:val="left"/>
              <w:rPr>
                <w:rStyle w:val="Style_43"/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</w:pPr>
            <w:r>
              <w:rPr>
                <w:rStyle w:val="Style_43"/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Подготовка предложений и проведение экспертизы проектов муниципальных нормативных правовых актов по вопросам совершенствования бюджетного процесса и муниципального финансового контроля.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 мере поступления в течение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ч.2 ст.157 БК РФ;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 КСО ЛМО СК 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3878" w:type="dxa"/>
            <w:gridSpan w:val="4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4. Методическая деятельность.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4.1.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Разработка (внесение изменений)  нормативных актов, стандарты, методический материал, приказы, иную документацию, регламентирующую  деятельность Контрольно-счетного отдела Левокумского муниципального округа Ставропольского края. 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Январь- февраль 2021 года, в течение 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ст.11, 13  Положения о КСО ЛМО СК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4.2.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Мероприятия по подготовке и повышению квалификации сотрудников.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года;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при организации обучающих мероприятий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Положение о КСО ЛМО СК; 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п.7 ч.1 ст.11 Закона 25-ФЗ «О муниципальной службе в РФ»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4.3.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Изучение опыта работы КСП СК, КСО субъектов РФ и МО.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Постоянно, в течение 2021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ст.19 Положения о КСО ЛМО СК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4.4.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Мероприятия по обновлению  знаний работников по актуальным вопросам в установленной сфере профессиональной служебной деятельности для решения соответствующих профессиональных задач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2021 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 7 ч 1 ст. 11 Закона 25-ФЗ</w:t>
            </w:r>
          </w:p>
        </w:tc>
      </w:tr>
      <w:tr>
        <w:tc>
          <w:tcPr>
            <w:tcW w:w="14578" w:type="dxa"/>
            <w:gridSpan w:val="5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5. Информационная  и иная деятельность.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Подготовка информационного материала  о деятельности КСО ЛМО СК для размещения в сети  Интернет на сайте Администрации Левокумского муниципального округа Ставропольского края.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Постоянно,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 по срокам размещения 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ст.20 Положения о КСО ЛМО СК;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 14 ФЗ от 29.02.2009г.№8-ФЗ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5.2.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Предоставление отчетов и информации  главе Левокумского муниципального округа Ставропольского края, в Совет Левокумского муниципального округа Ставропольского края о результатах контрольных мероприятий и экспертно-аналитических мероприятий.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В течение 2021года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ст.9, 10  Положения о КСО ЛМО СК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5.3.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Введение информационных систем- системы электронного документооборота при ведении  бухгалтерского учета.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 января 2021 года, весь период 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бухгалтер 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Федеральный закон от 06.12.2011 № 402-ФЗ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«О бухгалтерском учете»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5.4.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Ведение  электронной базы данных. 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Регламент КСО ЛМО СК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3878" w:type="dxa"/>
            <w:gridSpan w:val="4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Иная деятельность. Взаимодействие с другими органами.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5.5.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Участие в работе Союза муниципальных контрольно-счетных органов (Союза МКСО) и Союза Контрольно-счетных органов при Контрольно-счетной палате Ставропольского края (СКСО СК).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2021 года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ст.19 Положения о КСО ЛМО СК; планы работы Союзов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5.6.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Взаимодействие с надзорными и контрольными органами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ст.19 Положения о КСО ЛМО СК; планы работы Союзов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Противодействие коррупции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5.7.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заседаний комиссии по соблюдению требований к служебному поведению 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муниципальных служащих, замещающих должности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муниципальной службы в КСО ЛМО СК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2021 года, в случае поступления  материалов в комиссию 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секретарь комиссии -инспектор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Федеральный закон от 25 декабря 2008 г. № 273-ФЗ «О противодействии коррупции»,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Положения и состава комиссии 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 соблюдению требований к служебному поведению 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муниципальных служащих, замещающих должности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муниципальной службы в Контрольно-счетном отделе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Левокумского муниципального округа Ставропольского края 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 урегулирования конфликта интересов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5.8.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Заполнение и представление сведений  об адресах сайтов или страниц сайтов в информационно-телекоммуникационной сети Интернет и сведений  о доходах, об имуществе и обязательствах имущественного характера муниципальных служащих за 2020 год.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 01.04.2021г.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 30.04.2021г.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ФЗ от 25.12.2008г. №273-ФЗ «О противодействии коррупции»;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Федеральный закон от 02.03.2007г. № 25-ФЗ «О муниципальной службе в Российской Федерации»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5.9.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мероприятий по противодействию коррупции.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 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года, в сроки, установленные для исполнения мероприятий, декабрь 2021 года   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ФЗ от 25.12.2008г. №273-ФЗ «О противодействии коррупции»;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Положение о КСО ЛМО СК, план мероприятий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5.10.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Участие в мероприятиях, направленных на противодействие коррупции в пределах полномочий КСО ЛМО СК.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 в сроки, установленные для исполнения мероприятий   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ФЗ от 25.12.2008г. №273-ФЗ «О противодействии коррупции»;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Положение о КСО ЛМО СК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5.11.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Подготовка информации о выполнении плана мероприятий по  противодействию коррупции за  2020 год.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Январь 2021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ФЗ от 25.12.2008г. №273-ФЗ «О противодействии коррупции»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5.12.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Проведения антикоррупционной экспертизы проектов нормативных правовых актов КСО ЛМО СК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ФЗ от 25.12.2008г. №273-ФЗ «О противодействии коррупции»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8633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Style w:val="Style_44"/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Иная деятельность. Материально-техническое обеспечение и бухгалтерский учет.</w:t>
            </w:r>
          </w:p>
        </w:tc>
        <w:tc>
          <w:tcPr>
            <w:tcW w:w="25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6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5.13.</w:t>
            </w:r>
          </w:p>
        </w:tc>
        <w:tc>
          <w:tcPr>
            <w:tcW w:w="622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_42"/>
              <w:spacing w:before="0" w:after="0" w:line="240" w:lineRule="auto"/>
              <w:ind w:left="0" w:right="0" w:firstLine="0"/>
              <w:jc w:val="left"/>
              <w:rPr>
                <w:rStyle w:val="Style_44"/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</w:pPr>
            <w:r>
              <w:rPr>
                <w:rStyle w:val="Style_44"/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Подготовка и организация  исполнения бюджетной сметы. Осуществление  внутреннего  финансового контроля.  </w:t>
            </w:r>
          </w:p>
        </w:tc>
        <w:tc>
          <w:tcPr>
            <w:tcW w:w="240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2021 года </w:t>
            </w:r>
          </w:p>
        </w:tc>
        <w:tc>
          <w:tcPr>
            <w:tcW w:w="25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бухгалтер </w:t>
            </w:r>
          </w:p>
        </w:tc>
        <w:tc>
          <w:tcPr>
            <w:tcW w:w="26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ст.160.2-1 БК РФ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5.14.</w:t>
            </w:r>
          </w:p>
        </w:tc>
        <w:tc>
          <w:tcPr>
            <w:tcW w:w="6224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Осуществление ведения бухгалтерского учета и  делопроизводства. </w:t>
            </w:r>
          </w:p>
        </w:tc>
        <w:tc>
          <w:tcPr>
            <w:tcW w:w="2409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Весь период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</w:t>
            </w:r>
          </w:p>
        </w:tc>
        <w:tc>
          <w:tcPr>
            <w:tcW w:w="2552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бухгалтер </w:t>
            </w:r>
          </w:p>
        </w:tc>
        <w:tc>
          <w:tcPr>
            <w:tcW w:w="2693" w:type="dxa"/>
            <w:tcBorders>
              <w:top w:val="single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ст.161 БК РФ;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Федеральный закон от 06.12.2011 № 402-ФЗ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«О бухгалтерском учете»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5.15.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инвентаризации.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Декабрь 2021 года; при производственной необходимости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бухгалтер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 11 Федерального закона от 06.12.2011 № 402-ФЗ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«О бухгалтерском учете»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5.16.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_42"/>
              <w:spacing w:before="0" w:after="0" w:line="240" w:lineRule="auto"/>
              <w:ind w:left="0" w:right="0" w:firstLine="0"/>
              <w:jc w:val="left"/>
              <w:rPr>
                <w:rStyle w:val="Style_44"/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Style w:val="Style_44"/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Материально-техническое обеспечение.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Осуществление закупок товаров, работ и услуг для нужд.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2021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ст.72 БК РФ </w:t>
            </w:r>
          </w:p>
        </w:tc>
      </w:tr>
    </w:tbl>
    <w:p>
      <w:pPr>
        <w:keepNext/>
        <w:keepLines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39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ar-SA"/>
        </w:rPr>
      </w:pPr>
    </w:p>
    <w:sectPr>
      <w:footnotePr>
        <w:pos w:val="beneathText"/>
      </w:footnotePr>
      <w:type w:val="nextPage"/>
      <w:pgSz w:w="16837" w:h="11905" w:orient="landscape"/>
      <w:pgMar w:top="568" w:right="850" w:bottom="1134" w:left="1701" w:header="720" w:footer="72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ar-SA"/>
        </w:rPr>
        <w:separator/>
      </w:r>
    </w:p>
  </w:endnote>
  <w:endnote w:type="continuationSeparator" w:id="1"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ar-SA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3020204"/>
  </w:font>
  <w:font w:name="Courier New">
    <w:panose1 w:val="02070409020205020404"/>
  </w:font>
  <w:font w:name="Arial">
    <w:panose1 w:val="020B0604020202020204"/>
  </w:font>
  <w:font w:name="StarSymbol">
    <w:panose1 w:val="02000603000000000000"/>
  </w:font>
  <w:font w:name="Symbol">
    <w:panose1 w:val="05010000000000000000"/>
  </w:font>
  <w:font w:name="Calibri Light">
    <w:panose1 w:val="020F050202020403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ar-SA"/>
        </w:rPr>
        <w:separator/>
      </w:r>
    </w:p>
  </w:footnote>
  <w:footnote w:type="continuationSeparator" w:id="1"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ar-SA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multiLevelType w:val="hybridMultilevel"/>
    <w:lvl w:ilvl="0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139497574">
    <w:multiLevelType w:val="hybridMultilevel"/>
    <w:lvl w:ilvl="0">
      <w:start w:val="1"/>
      <w:numFmt w:val="none"/>
      <w:suff w:val="tab"/>
      <w:lvlText w:val="%1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none"/>
      <w:suff w:val="tab"/>
      <w:lvlText w:val="%2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none"/>
      <w:suff w:val="tab"/>
      <w:lvlText w:val="%3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none"/>
      <w:suff w:val="tab"/>
      <w:lvlText w:val="%4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none"/>
      <w:suff w:val="tab"/>
      <w:lvlText w:val="%5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none"/>
      <w:suff w:val="tab"/>
      <w:lvlText w:val="%6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none"/>
      <w:suff w:val="tab"/>
      <w:lvlText w:val="%7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none"/>
      <w:suff w:val="tab"/>
      <w:lvlText w:val="%8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none"/>
      <w:suff w:val="tab"/>
      <w:lvlText w:val="%9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36913740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lang w:val="ru-RU" w:bidi="ru-RU"/>
      </w:rPr>
    </w:lvl>
    <w:lvl w:ilvl="1" w:tentative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  <w:lang w:val="ru-RU" w:bidi="ru-RU"/>
      </w:rPr>
    </w:lvl>
    <w:lvl w:ilvl="2" w:tentative="1">
      <w:start w:val="1"/>
      <w:numFmt w:val="lowerRoman"/>
      <w:suff w:val="tab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  <w:lang w:val="ru-RU" w:bidi="ru-RU"/>
      </w:rPr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  <w:lang w:val="ru-RU" w:bidi="ru-RU"/>
      </w:rPr>
    </w:lvl>
    <w:lvl w:ilvl="4" w:tentative="1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  <w:lang w:val="ru-RU" w:bidi="ru-RU"/>
      </w:rPr>
    </w:lvl>
    <w:lvl w:ilvl="5" w:tentative="1">
      <w:start w:val="1"/>
      <w:numFmt w:val="lowerRoman"/>
      <w:suff w:val="tab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  <w:lang w:val="ru-RU" w:bidi="ru-RU"/>
      </w:rPr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  <w:lang w:val="ru-RU" w:bidi="ru-RU"/>
      </w:rPr>
    </w:lvl>
    <w:lvl w:ilvl="7" w:tentative="1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  <w:lang w:val="ru-RU" w:bidi="ru-RU"/>
      </w:rPr>
    </w:lvl>
    <w:lvl w:ilvl="8" w:tentative="1">
      <w:start w:val="1"/>
      <w:numFmt w:val="lowerRoman"/>
      <w:suff w:val="tab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  <w:lang w:val="ru-RU" w:bidi="ru-RU"/>
      </w:rPr>
    </w:lvl>
  </w:abstractNum>
  <w:num w:numId="1">
    <w:abstractNumId w:val="1"/>
  </w:num>
  <w:num w:numId="2">
    <w:abstractNumId w:val="1139497574"/>
  </w:num>
  <w:num w:numId="3">
    <w:abstractNumId w:val="13691374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0"/>
    <w:footnote w:id="1"/>
  </w:footnotePr>
  <w:endnotePr>
    <w:pos w:val="docEnd"/>
    <w:endnote w:id="0"/>
    <w:endnote w:id="1"/>
  </w:endnotePr>
  <w:compat>
    <w:compatSetting w:name="compatibilityMode" w:uri="http://schemas.microsoft.com/office/word" w:val="11"/>
  </w:compat>
  <m:mathPr>
    <m:mathFont m:val="Cambria Math"/>
    <m:brkBin m:val="before"/>
    <m:brkBinSub m:val="--"/>
    <m:dispDef m:val="false"/>
    <m:lMargin m:val="0"/>
    <m:rMargin m:val="0"/>
    <m:defJc m:val="center"/>
    <m:wrapIndent m:val="1440"/>
    <m:intLim m:val="subSup"/>
    <m:naryLim m:val="undOvr"/>
  </m:mathPr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4"/>
        <w:szCs w:val="24"/>
        <w:lang w:val="ru-RU" w:bidi="ru-RU"/>
      </w:rPr>
    </w:rPrDefault>
    <w:pPrDefault>
      <w:pPr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lang w:val="ru-RU" w:bidi="ru-RU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uiPriority w:val="0"/>
    <w:qFormat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ar-SA"/>
    </w:rPr>
  </w:style>
  <w:style w:type="paragraph" w:styleId="Style_1">
    <w:name w:val="heading 1"/>
    <w:basedOn w:val="Style_0"/>
    <w:uiPriority w:val="9"/>
    <w:qFormat/>
    <w:pPr>
      <w:keepNext/>
      <w:spacing w:before="240" w:after="60" w:line="240" w:lineRule="auto"/>
      <w:ind w:left="0" w:right="0"/>
      <w:jc w:val="left"/>
      <w:outlineLvl w:val="0"/>
      <w:rPr>
        <w:rFonts w:ascii="Times New Roman" w:hAnsi="Times New Roman" w:eastAsia="Times New Roman" w:cs="Times New Roman"/>
        <w:lang w:val="ru-RU" w:bidi="ru-RU"/>
      </w:rPr>
    </w:pPr>
    <w:rPr>
      <w:rFonts w:ascii="Calibri Light" w:hAnsi="Calibri Light" w:eastAsia="Calibri Light" w:cs="Calibri Light"/>
      <w:b/>
      <w:bCs/>
      <w:sz w:val="32"/>
      <w:szCs w:val="32"/>
      <w:lang w:val="ru-RU" w:bidi="ar-SA"/>
    </w:rPr>
  </w:style>
  <w:style w:type="paragraph" w:styleId="Style_2">
    <w:name w:val="heading 2"/>
    <w:basedOn w:val="Style_0"/>
    <w:uiPriority w:val="9"/>
    <w:qFormat/>
    <w:pPr>
      <w:keepNext/>
      <w:numPr>
        <w:numId w:val="1"/>
        <w:ilvl w:val="1"/>
      </w:numPr>
      <w:tabs>
        <w:tab w:val="left" w:pos="0"/>
      </w:tabs>
      <w:spacing w:before="280" w:after="280" w:line="240" w:lineRule="auto"/>
      <w:ind w:left="0" w:right="0"/>
      <w:jc w:val="center"/>
      <w:outlineLvl w:val="1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b/>
      <w:bCs/>
      <w:sz w:val="36"/>
      <w:szCs w:val="36"/>
      <w:lang w:val="ru-RU" w:bidi="ar-SA"/>
    </w:rPr>
  </w:style>
  <w:style w:type="paragraph" w:styleId="Style_3">
    <w:name w:val="heading 3"/>
    <w:basedOn w:val="Style_0"/>
    <w:uiPriority w:val="9"/>
    <w:unhideWhenUsed/>
    <w:qFormat/>
    <w:pPr>
      <w:keepNext/>
      <w:spacing w:before="240" w:after="60" w:line="240" w:lineRule="auto"/>
      <w:ind w:left="0" w:right="0"/>
      <w:jc w:val="left"/>
      <w:outlineLvl w:val="2"/>
      <w:rPr>
        <w:rFonts w:ascii="Times New Roman" w:hAnsi="Times New Roman" w:eastAsia="Times New Roman" w:cs="Times New Roman"/>
        <w:lang w:val="ru-RU" w:bidi="ru-RU"/>
      </w:rPr>
    </w:pPr>
    <w:rPr>
      <w:rFonts w:ascii="Calibri Light" w:hAnsi="Calibri Light" w:eastAsia="Calibri Light" w:cs="Calibri Light"/>
      <w:b/>
      <w:bCs/>
      <w:sz w:val="26"/>
      <w:szCs w:val="26"/>
      <w:lang w:val="ru-RU" w:bidi="ar-SA"/>
    </w:rPr>
  </w:style>
  <w:style w:type="character" w:styleId="Style_10">
    <w:name w:val="Default Paragraph Font"/>
    <w:uiPriority w:val="1"/>
    <w:semiHidden/>
    <w:rPr>
      <w:rFonts w:ascii="Times New Roman" w:hAnsi="Times New Roman" w:eastAsia="Times New Roman" w:cs="Times New Roman"/>
      <w:sz w:val="24"/>
      <w:szCs w:val="24"/>
      <w:lang w:val="ru-RU" w:bidi="ru-RU"/>
    </w:rPr>
  </w:style>
  <w:style w:type="table" w:styleId="Style_11">
    <w:name w:val="Normal Table"/>
    <w:semiHidden/>
    <w:unhideWhenUsed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108" w:type="dxa"/>
        <w:right w:w="108" w:type="dxa"/>
      </w:tblCellMar>
    </w:tblPr>
  </w:style>
  <w:style w:type="character" w:styleId="Style_15">
    <w:name w:val="Заголовок 1 Знак"/>
    <w:basedOn w:val="Style_10"/>
    <w:uiPriority w:val="9"/>
    <w:locked/>
    <w:rPr>
      <w:rFonts w:ascii="Calibri Light" w:hAnsi="Calibri Light" w:eastAsia="Calibri Light" w:cs="Calibri Light"/>
      <w:b/>
      <w:bCs/>
      <w:sz w:val="32"/>
      <w:szCs w:val="32"/>
      <w:lang w:bidi="ar-SA"/>
    </w:rPr>
  </w:style>
  <w:style w:type="character" w:styleId="Style_16">
    <w:name w:val="Заголовок 2 Знак"/>
    <w:basedOn w:val="Style_10"/>
    <w:uiPriority w:val="9"/>
    <w:semiHidden/>
    <w:locked/>
    <w:rPr>
      <w:rFonts w:ascii="Calibri Light" w:hAnsi="Calibri Light" w:eastAsia="Calibri Light" w:cs="Calibri Light"/>
      <w:b/>
      <w:bCs/>
      <w:i/>
      <w:iCs/>
      <w:sz w:val="28"/>
      <w:szCs w:val="28"/>
      <w:lang w:bidi="ar-SA"/>
    </w:rPr>
  </w:style>
  <w:style w:type="character" w:styleId="Style_17">
    <w:name w:val="Заголовок 3 Знак"/>
    <w:basedOn w:val="Style_10"/>
    <w:uiPriority w:val="9"/>
    <w:locked/>
    <w:rPr>
      <w:rFonts w:ascii="Calibri Light" w:hAnsi="Calibri Light" w:eastAsia="Calibri Light" w:cs="Calibri Light"/>
      <w:b/>
      <w:bCs/>
      <w:sz w:val="26"/>
      <w:szCs w:val="26"/>
      <w:lang w:bidi="ar-SA"/>
    </w:rPr>
  </w:style>
  <w:style w:type="character" w:styleId="Style_18">
    <w:name w:val="Absatz-Standardschriftart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19">
    <w:name w:val="WW-Absatz-Standardschriftart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0">
    <w:name w:val="WW-Absatz-Standardschriftart1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1">
    <w:name w:val="WW-Absatz-Standardschriftart11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2">
    <w:name w:val="WW8Num1z0"/>
    <w:uiPriority w:val="0"/>
    <w:rPr>
      <w:rFonts w:ascii="Symbol" w:hAnsi="Symbol" w:eastAsia="Symbol" w:cs="Symbol"/>
      <w:sz w:val="18"/>
      <w:szCs w:val="18"/>
      <w:lang w:val="ru-RU" w:bidi="ru-RU"/>
    </w:rPr>
  </w:style>
  <w:style w:type="character" w:styleId="Style_23">
    <w:name w:val="WW-Absatz-Standardschriftart111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4">
    <w:name w:val="WW-Absatz-Standardschriftart1111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5">
    <w:name w:val="WW-Absatz-Standardschriftart11111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6">
    <w:name w:val="WW-Absatz-Standardschriftart111111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7">
    <w:name w:val="Основной шрифт абзаца1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8">
    <w:name w:val="Символ нумерации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9">
    <w:name w:val="Маркеры списка"/>
    <w:uiPriority w:val="0"/>
    <w:rPr>
      <w:rFonts w:ascii="StarSymbol" w:hAnsi="StarSymbol" w:eastAsia="StarSymbol" w:cs="StarSymbol"/>
      <w:sz w:val="18"/>
      <w:szCs w:val="18"/>
      <w:lang w:val="ru-RU" w:bidi="ru-RU"/>
    </w:rPr>
  </w:style>
  <w:style w:type="paragraph" w:styleId="Style_30">
    <w:name w:val="Заголовок"/>
    <w:basedOn w:val="Style_0"/>
    <w:uiPriority w:val="0"/>
    <w:pPr>
      <w:keepNext/>
      <w:spacing w:before="240" w:after="12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sz w:val="28"/>
      <w:szCs w:val="28"/>
      <w:lang w:val="ru-RU" w:bidi="ar-SA"/>
    </w:rPr>
  </w:style>
  <w:style w:type="paragraph" w:styleId="Style_31">
    <w:name w:val="Body Text"/>
    <w:basedOn w:val="Style_0"/>
    <w:semiHidden/>
    <w:pPr>
      <w:spacing w:before="0" w:after="12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ar-SA"/>
    </w:rPr>
  </w:style>
  <w:style w:type="character" w:styleId="Style_32">
    <w:name w:val="Основной текст Знак"/>
    <w:basedOn w:val="Style_10"/>
    <w:semiHidden/>
    <w:locked/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Style_33">
    <w:name w:val="List"/>
    <w:basedOn w:val="Style_31"/>
    <w:semiHidden/>
    <w:pPr>
      <w:spacing w:before="0" w:after="12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ar-SA"/>
    </w:rPr>
  </w:style>
  <w:style w:type="paragraph" w:styleId="Style_34">
    <w:name w:val="Название1"/>
    <w:basedOn w:val="Style_0"/>
    <w:uiPriority w:val="0"/>
    <w:pPr>
      <w:spacing w:before="120" w:after="12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i/>
      <w:iCs/>
      <w:sz w:val="24"/>
      <w:szCs w:val="24"/>
      <w:lang w:val="ru-RU" w:bidi="ar-SA"/>
    </w:rPr>
  </w:style>
  <w:style w:type="paragraph" w:styleId="Style_35">
    <w:name w:val="Указатель1"/>
    <w:basedOn w:val="Style_0"/>
    <w:uiPriority w:val="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ar-SA"/>
    </w:rPr>
  </w:style>
  <w:style w:type="paragraph" w:styleId="Style_36">
    <w:name w:val="Содержимое таблицы"/>
    <w:basedOn w:val="Style_0"/>
    <w:uiPriority w:val="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ar-SA"/>
    </w:rPr>
  </w:style>
  <w:style w:type="paragraph" w:styleId="Style_37">
    <w:name w:val="Заголовок таблицы"/>
    <w:basedOn w:val="Style_36"/>
    <w:uiPriority w:val="0"/>
    <w:pPr>
      <w:spacing w:before="0" w:after="0" w:line="240" w:lineRule="auto"/>
      <w:ind w:left="0" w:right="0"/>
      <w:jc w:val="center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ar-SA"/>
    </w:rPr>
  </w:style>
  <w:style w:type="paragraph" w:styleId="Style_38">
    <w:name w:val="ConsNonformat"/>
    <w:uiPriority w:val="0"/>
    <w:pPr>
      <w:spacing w:before="0" w:after="0" w:line="240" w:lineRule="auto"/>
      <w:ind w:left="0" w:right="19772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ourier New" w:hAnsi="Courier New" w:eastAsia="Courier New" w:cs="Courier New"/>
      <w:sz w:val="20"/>
      <w:szCs w:val="20"/>
      <w:lang w:val="ru-RU" w:bidi="ar-SA"/>
    </w:rPr>
  </w:style>
  <w:style w:type="paragraph" w:styleId="Style_39">
    <w:name w:val="Normal (Web)"/>
    <w:basedOn w:val="Style_0"/>
    <w:pPr>
      <w:spacing w:before="280" w:after="119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ar-SA"/>
    </w:rPr>
  </w:style>
  <w:style w:type="paragraph" w:styleId="Style_40">
    <w:name w:val="Balloon Text"/>
    <w:basedOn w:val="Style_0"/>
    <w:semiHidden/>
    <w:unhideWhenUsed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Segoe UI" w:hAnsi="Segoe UI" w:eastAsia="Segoe UI" w:cs="Segoe UI"/>
      <w:sz w:val="18"/>
      <w:szCs w:val="18"/>
      <w:lang w:val="ru-RU" w:bidi="ar-SA"/>
    </w:rPr>
  </w:style>
  <w:style w:type="character" w:styleId="Style_41">
    <w:name w:val="Текст выноски Знак"/>
    <w:basedOn w:val="Style_10"/>
    <w:semiHidden/>
    <w:locked/>
    <w:rPr>
      <w:rFonts w:ascii="Segoe UI" w:hAnsi="Segoe UI" w:eastAsia="Segoe UI" w:cs="Segoe UI"/>
      <w:sz w:val="18"/>
      <w:szCs w:val="18"/>
      <w:lang w:bidi="ar-SA"/>
    </w:rPr>
  </w:style>
  <w:style w:type="paragraph" w:styleId="Style_42">
    <w:name w:val="No Spacing"/>
    <w:uiPriority w:val="1"/>
    <w:qFormat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ar-SA"/>
    </w:rPr>
  </w:style>
  <w:style w:type="character" w:styleId="Style_43">
    <w:name w:val="Strong"/>
    <w:basedOn w:val="Style_10"/>
    <w:uiPriority w:val="22"/>
    <w:qFormat/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character" w:styleId="Style_44">
    <w:name w:val="Subtle Emphasis"/>
    <w:basedOn w:val="Style_10"/>
    <w:uiPriority w:val="19"/>
    <w:qFormat/>
    <w:rPr>
      <w:rFonts w:ascii="Times New Roman" w:hAnsi="Times New Roman" w:eastAsia="Times New Roman" w:cs="Times New Roman"/>
      <w:i/>
      <w:iCs/>
      <w:color w:val="404040"/>
      <w:sz w:val="24"/>
      <w:szCs w:val="24"/>
      <w:lang w:val="ru-RU" w:bidi="ru-RU"/>
    </w:rPr>
  </w:style>
  <w:style w:type="paragraph" w:styleId="Style_45">
    <w:name w:val="footnote text"/>
    <w:basedOn w:val="Style_0"/>
    <w:semiHidden/>
    <w:unhideWhenUsed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character" w:styleId="Style_46">
    <w:name w:val="Текст сноски Знак"/>
    <w:basedOn w:val="Style_10"/>
    <w:semiHidden/>
    <w:locked/>
    <w:rPr>
      <w:rFonts w:ascii="Times New Roman" w:hAnsi="Times New Roman" w:eastAsia="Times New Roman" w:cs="Times New Roman"/>
      <w:sz w:val="24"/>
      <w:szCs w:val="24"/>
    </w:rPr>
  </w:style>
  <w:style w:type="character" w:styleId="Style_47">
    <w:name w:val="footnote reference"/>
    <w:basedOn w:val="Style_10"/>
    <w:semiHidden/>
    <w:unhideWhenUsed/>
    <w:rPr>
      <w:rFonts w:ascii="Times New Roman" w:hAnsi="Times New Roman" w:eastAsia="Times New Roman" w:cs="Times New Roman"/>
      <w:sz w:val="24"/>
      <w:szCs w:val="24"/>
      <w:vertAlign w:val="superscript"/>
      <w:lang w:val="ru-RU" w:bidi="ru-RU"/>
    </w:rPr>
  </w:style>
  <w:style w:type="character" w:styleId="Style_48">
    <w:name w:val="Hyperlink"/>
    <w:basedOn w:val="Style_10"/>
    <w:unhideWhenUsed/>
    <w:rPr>
      <w:rFonts w:ascii="Times New Roman" w:hAnsi="Times New Roman" w:eastAsia="Times New Roman" w:cs="Times New Roman"/>
      <w:color w:val="0563c1"/>
      <w:sz w:val="24"/>
      <w:szCs w:val="24"/>
      <w:u w:val="single"/>
      <w:lang w:val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haractersWithSpaces>15270</CharactersWithSpaces>
  <DocSecurity>0</DocSecurity>
  <HyperlinksChanged>false</HyperlinksChanged>
  <LinksUpToDate>false</LinksUpToDate>
  <Pages>11</Pages>
  <ScaleCrop>false</ScaleCrop>
  <SharedDoc>false</SharedDoc>
  <TotalTime>440</TotalTime>
  <Words>2678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контрольный отдел</dc:title>
  <dc:creator>789</dc:creator>
  <cp:lastModifiedBy/>
</cp:coreProperties>
</file>