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3F" w:rsidRPr="006D0B3F" w:rsidRDefault="009C5A11" w:rsidP="006D0B3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  <w:bookmarkStart w:id="0" w:name="_GoBack"/>
      <w:bookmarkEnd w:id="0"/>
    </w:p>
    <w:p w:rsidR="006D0B3F" w:rsidRPr="006D0B3F" w:rsidRDefault="006D0B3F" w:rsidP="006D0B3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6D0B3F" w:rsidRPr="006D0B3F" w:rsidRDefault="006D0B3F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D0B3F" w:rsidRPr="006D0B3F" w:rsidRDefault="006D0B3F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6D0B3F" w:rsidRPr="006D0B3F" w:rsidRDefault="006D0B3F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6D0B3F" w:rsidRPr="006D0B3F" w:rsidRDefault="006D0B3F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от 07 апреля 2022 года № 450</w:t>
      </w:r>
    </w:p>
    <w:p w:rsidR="000C7ABB" w:rsidRPr="006D0B3F" w:rsidRDefault="000C7ABB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6D0B3F" w:rsidRPr="006D0B3F" w:rsidRDefault="006D0B3F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0C7ABB" w:rsidRPr="006D0B3F" w:rsidRDefault="006D0B3F" w:rsidP="006D0B3F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C7ABB" w:rsidRPr="006D0B3F">
        <w:rPr>
          <w:rFonts w:ascii="Times New Roman" w:hAnsi="Times New Roman"/>
          <w:sz w:val="28"/>
          <w:szCs w:val="28"/>
        </w:rPr>
        <w:t>ПРИЛОЖЕНИЕ 1</w:t>
      </w:r>
    </w:p>
    <w:p w:rsidR="006D0B3F" w:rsidRPr="006D0B3F" w:rsidRDefault="006D0B3F" w:rsidP="006D0B3F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0C7ABB" w:rsidRPr="006D0B3F" w:rsidRDefault="000C7ABB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C7ABB" w:rsidRPr="006D0B3F" w:rsidRDefault="000C7ABB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Левокумского муниципального округа Ставропольского края</w:t>
      </w:r>
    </w:p>
    <w:p w:rsidR="000C7ABB" w:rsidRPr="006D0B3F" w:rsidRDefault="000C7ABB" w:rsidP="006D0B3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D0B3F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0C7ABB" w:rsidRDefault="000C7ABB" w:rsidP="000C7A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0C7ABB" w:rsidRDefault="000C7ABB" w:rsidP="000C7A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D0B3F" w:rsidRDefault="006D0B3F" w:rsidP="000C7A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D0B3F" w:rsidRDefault="006D0B3F" w:rsidP="000C7A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C7ABB" w:rsidRDefault="000C7ABB" w:rsidP="006D0B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0C7ABB" w:rsidRDefault="000C7ABB" w:rsidP="006D0B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РАСТЕНИЕВОДСТВА» МУНИЦИПАЛЬНОЙ ПРОГРАММЫ ЛЕВОКУМСКОГО МУНИЦИПАЛЬНОГО ОКРУГА СТАВРОПОЛЬСКОГО КРАЯ «РАЗВИТИЕ СЕЛЬСКОГО ХОЗЯЙСТВА»  </w:t>
      </w:r>
    </w:p>
    <w:p w:rsidR="000C7ABB" w:rsidRDefault="000C7ABB" w:rsidP="006D0B3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C7ABB" w:rsidRDefault="000C7ABB" w:rsidP="006D0B3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0C7ABB" w:rsidRDefault="000C7ABB" w:rsidP="006D0B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ОКРУГА СТАВРОПОЛЬСКОГО КРАЯ «РАЗВИТИЕ СЕЛЬСКОГО ХОЗЯЙСТВА»  </w:t>
      </w:r>
    </w:p>
    <w:p w:rsidR="000C7ABB" w:rsidRDefault="000C7ABB" w:rsidP="000C7A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520"/>
      </w:tblGrid>
      <w:tr w:rsidR="000C7ABB" w:rsidTr="006D0B3F"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растениеводства» муниципальной программы Левокумского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сельского хозяйства»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0C7ABB" w:rsidTr="006D0B3F"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сельского хозяйства и охраны окружающей среды администрации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Управление)</w:t>
            </w:r>
          </w:p>
        </w:tc>
      </w:tr>
      <w:tr w:rsidR="000C7ABB" w:rsidTr="006D0B3F"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C7ABB" w:rsidTr="006D0B3F"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Сельхозпредприятия муниципального округа;</w:t>
            </w:r>
          </w:p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 на территории Левокумского муниципального  округа</w:t>
            </w:r>
          </w:p>
        </w:tc>
      </w:tr>
      <w:tr w:rsidR="000C7ABB" w:rsidTr="006D0B3F">
        <w:trPr>
          <w:trHeight w:val="2897"/>
        </w:trPr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объемов производства основных видов продукции растениеводства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прочей продукции растениеводства в Левокумском муниципальном округе;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Воспроизводство и повышение эффективности использования земельных ресурсов в сельскохозяйственном производстве</w:t>
            </w:r>
          </w:p>
        </w:tc>
      </w:tr>
      <w:tr w:rsidR="000C7ABB" w:rsidTr="006D0B3F">
        <w:trPr>
          <w:trHeight w:val="5202"/>
        </w:trPr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зерновых и зернобобовых культур в хозяйствах всех категорий Левокумского муниципального округа.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овощей открытого грунта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предпринимателей.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картофеля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предпринимателей.</w:t>
            </w:r>
          </w:p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площади, засеваемой элитными семенами, в общей площади посевов на территории Левокумского муниципального округа.</w:t>
            </w:r>
          </w:p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Площадь виноградных насаждений в плодоносящем  возрасте. </w:t>
            </w:r>
          </w:p>
          <w:p w:rsidR="000C7ABB" w:rsidRDefault="000C7A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 в эксплуатацию мелиорируемых земель</w:t>
            </w:r>
          </w:p>
        </w:tc>
      </w:tr>
      <w:tr w:rsidR="000C7ABB" w:rsidTr="006D0B3F"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2021 - 2026 годы</w:t>
            </w:r>
          </w:p>
        </w:tc>
      </w:tr>
      <w:tr w:rsidR="000C7ABB" w:rsidTr="006D0B3F">
        <w:trPr>
          <w:trHeight w:val="3935"/>
        </w:trPr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 составит 1800 тыс. рублей, в том числе по источникам финансового обеспечения: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– 1800,00 тыс. рублей, в том числе по годам: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300,00 тыс. рублей;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- 300,00 тыс. рублей;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- 300,00 тыс. рублей;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- 300,00 тыс. рублей;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- 300,00 тыс. рублей;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- 300,00 тыс. рублей;</w:t>
            </w:r>
          </w:p>
        </w:tc>
      </w:tr>
      <w:tr w:rsidR="000C7ABB" w:rsidTr="006D0B3F">
        <w:trPr>
          <w:trHeight w:val="7456"/>
        </w:trPr>
        <w:tc>
          <w:tcPr>
            <w:tcW w:w="2660" w:type="dxa"/>
            <w:hideMark/>
          </w:tcPr>
          <w:p w:rsidR="000C7ABB" w:rsidRDefault="000C7A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520" w:type="dxa"/>
            <w:hideMark/>
          </w:tcPr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Темп роста валового сбора зерновых и зернобобовых культур в хозяйствах всех категорий  Левокумского муниципального округа составит в 2026 году 197,2% к уровню 2020 года;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валового сбора овощей открытого грунта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предпринимателей, составит 102,1% в 2026 году к уровню 2020 года;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валового сбора картофеля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предпринимателей, составит 123,1 % в 2026 году к уровню 2020 года;</w:t>
            </w:r>
          </w:p>
          <w:p w:rsidR="000C7ABB" w:rsidRDefault="000C7A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ежегодное (с 2021 год по 2026 год) сохранение доли площадей, засеваемой элитными семенами, в общей площади посевов на территории 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уровне 9,0 процентов;</w:t>
            </w:r>
          </w:p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площади виноградников в плодоносящем возрасте с 1,227 тыс. га в 2020 году до 1,5 тыс. га в 2026 году;</w:t>
            </w:r>
            <w:r>
              <w:t xml:space="preserve"> </w:t>
            </w:r>
          </w:p>
          <w:p w:rsidR="000C7ABB" w:rsidRDefault="000C7A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 в эксплуатацию в 2021-2026 годах 332 га мелиорируемых земель.</w:t>
            </w:r>
          </w:p>
        </w:tc>
      </w:tr>
    </w:tbl>
    <w:p w:rsidR="000C7ABB" w:rsidRDefault="000C7ABB" w:rsidP="000C7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7ABB" w:rsidRDefault="000C7ABB" w:rsidP="000C7ABB">
      <w:pPr>
        <w:pStyle w:val="ConsPlusTitle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0C7ABB" w:rsidRDefault="000C7ABB" w:rsidP="000C7AB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7ABB" w:rsidRDefault="000C7ABB" w:rsidP="000C7AB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Подпрограмма предусматривает реализацию следующих основных мероприятий:</w:t>
      </w:r>
    </w:p>
    <w:p w:rsidR="000C7ABB" w:rsidRDefault="000C7ABB" w:rsidP="000C7AB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7ABB" w:rsidRDefault="000C7ABB" w:rsidP="000C7ABB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Развитие зернопроизводства и овощеводства.</w:t>
      </w:r>
    </w:p>
    <w:p w:rsidR="000C7ABB" w:rsidRDefault="000C7ABB" w:rsidP="000C7AB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0C7ABB" w:rsidRDefault="000C7ABB" w:rsidP="000C7AB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0C7ABB" w:rsidRDefault="000C7ABB" w:rsidP="000C7A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работ по химической защите растений;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улучшения семеноводства и увеличения площади, засеваемой элитными семенами, в общей площади посевов на территории Левокумского муниципального округа;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достижения целевых показателей региональных программ развития агропромышленного комплекса;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освоения субвенций на возмещение части затрат на приобретение элитных семян.     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вышеуказанных субвенций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92D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доведение темпа роста валового сбора зерновых и зернобобовых культур в хозяйствах всех категорий Левокумского муниципального округа в 2026 году до 197,2 % к уровню 2020 года;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доведение </w:t>
      </w:r>
      <w:proofErr w:type="gramStart"/>
      <w:r>
        <w:rPr>
          <w:rFonts w:ascii="Times New Roman" w:hAnsi="Times New Roman"/>
          <w:sz w:val="28"/>
          <w:szCs w:val="28"/>
        </w:rPr>
        <w:t>темпа роста валового сбора овощей открытого грунта</w:t>
      </w:r>
      <w:proofErr w:type="gramEnd"/>
      <w:r>
        <w:rPr>
          <w:rFonts w:ascii="Times New Roman" w:hAnsi="Times New Roman"/>
          <w:sz w:val="28"/>
          <w:szCs w:val="28"/>
        </w:rPr>
        <w:t xml:space="preserve">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предпринимателей, в 2026 году до 102,1% к уровню 2020 года;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доведение темпа роста валового сбора картофеля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предпринимателей,  в 2026 году до 123,1%  к уровню 2020 года;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ежегодное (с 2021 года  по 2026 год) сохранение доли площадей, засеваемой элитными семенами, в общей площади посевов на территории Левокумского муниципального округа на уровне  9,0 процентов.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Развитие виноградарства  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0C7ABB" w:rsidRDefault="000C7ABB" w:rsidP="000C7AB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площадей виноградников и привлечение в отрасль крестьянско-фермерских хозяйств;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0C7ABB" w:rsidRDefault="000C7ABB" w:rsidP="000C7A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деятельности сельхозпредприятий в области виноградарства;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освоения субсидий по затратам, связанным с производством укрывных европейских сортов винограда;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освоения субсидий по затратам, связанным с приобретением специализированной техники для производства винограда;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освоения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содействия достижению целевых показателей реализации  Программы.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0C7ABB" w:rsidRDefault="000C7ABB" w:rsidP="000C7A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 увеличить площади виноградников в плодоносящем  возрасте с 1,227 тыс. га  в 2020 году до 1,5 тыс. га в 2026 году.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Строительство, реконструкция и техническое и перевооружение мелиоративных систем общего пользования.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0C7ABB" w:rsidRDefault="000C7ABB" w:rsidP="000C7A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продукционного потенциала мелиорируемых земель и эффективного использования природных ресурсов.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предлагается осуществлять путем освоения субсидии на возмещение части затрат на строительство, реконструкцию, техническое перевооружение мелиоративных систем общего пользования.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вышеуказанной субсидии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 обеспечить ввод в эксплуатацию в 2021-2026 годах 332 га мелиорируемых земель.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предприятия.</w:t>
      </w:r>
    </w:p>
    <w:p w:rsidR="000C7ABB" w:rsidRDefault="009C5A11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hyperlink r:id="rId6" w:anchor="P2357" w:history="1">
        <w:r w:rsidR="000C7ABB" w:rsidRPr="006D0B3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0C7ABB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7 к Программе.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Проведение соревнования в агропромышленном комплексе Левокумского муниципального округа Ставропольского края     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итогов соревнования и выдачу премии победителям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сокращение сроков ремонтов сельскохозяйственной техники, улучшение качества ремонта, 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сроков уборки зерновых культур,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сроков уборки винограда.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премии осуществляется в порядке, устанавливаемом администрацией Левокумского муниципального округа Ставропольского края,   в пределах средств, предусматриваемых на указанные цели в  бюджете округа на очередной финансовый год и плановый период.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 в 2026 году обеспечить рентабельность сельскохозяйственных организаций (с учетом субсидий) на уровне не менее 25,0 процентов;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 среднемесячной заработной платы работников сельского хозяйства Левокумского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(без субъектов малого предпринимательства) в 2026 году в сравнении с 2020 годом составит 110 процентов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0C7ABB" w:rsidRDefault="000C7ABB" w:rsidP="000C7A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6D0B3F">
        <w:rPr>
          <w:rFonts w:ascii="Times New Roman" w:hAnsi="Times New Roman"/>
          <w:sz w:val="28"/>
          <w:szCs w:val="28"/>
        </w:rPr>
        <w:t>»</w:t>
      </w:r>
      <w:proofErr w:type="gramEnd"/>
    </w:p>
    <w:p w:rsidR="000C06EE" w:rsidRPr="000C7ABB" w:rsidRDefault="000C06EE" w:rsidP="000C7ABB">
      <w:pPr>
        <w:rPr>
          <w:szCs w:val="28"/>
        </w:rPr>
      </w:pPr>
    </w:p>
    <w:sectPr w:rsidR="000C06EE" w:rsidRPr="000C7ABB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7AC3"/>
    <w:rsid w:val="00030543"/>
    <w:rsid w:val="00046B91"/>
    <w:rsid w:val="00052C55"/>
    <w:rsid w:val="00060C26"/>
    <w:rsid w:val="00071D70"/>
    <w:rsid w:val="00080C17"/>
    <w:rsid w:val="00086DC6"/>
    <w:rsid w:val="000A38FB"/>
    <w:rsid w:val="000B3A0C"/>
    <w:rsid w:val="000C06EE"/>
    <w:rsid w:val="000C7ABB"/>
    <w:rsid w:val="000E01C2"/>
    <w:rsid w:val="000F0582"/>
    <w:rsid w:val="00104FA1"/>
    <w:rsid w:val="001108C0"/>
    <w:rsid w:val="00116560"/>
    <w:rsid w:val="00136F02"/>
    <w:rsid w:val="001408AF"/>
    <w:rsid w:val="00166C47"/>
    <w:rsid w:val="001A3C39"/>
    <w:rsid w:val="001A541D"/>
    <w:rsid w:val="001A6F80"/>
    <w:rsid w:val="001B4E6A"/>
    <w:rsid w:val="001D143F"/>
    <w:rsid w:val="001E0EF5"/>
    <w:rsid w:val="001E244F"/>
    <w:rsid w:val="001F2734"/>
    <w:rsid w:val="001F6659"/>
    <w:rsid w:val="002023AA"/>
    <w:rsid w:val="00205BD6"/>
    <w:rsid w:val="00207D20"/>
    <w:rsid w:val="00222B79"/>
    <w:rsid w:val="00224A0E"/>
    <w:rsid w:val="00227B29"/>
    <w:rsid w:val="00233EB8"/>
    <w:rsid w:val="002470C6"/>
    <w:rsid w:val="0024773A"/>
    <w:rsid w:val="00257D34"/>
    <w:rsid w:val="00264284"/>
    <w:rsid w:val="00285ABD"/>
    <w:rsid w:val="00291B04"/>
    <w:rsid w:val="00297C43"/>
    <w:rsid w:val="002B1950"/>
    <w:rsid w:val="002C2472"/>
    <w:rsid w:val="002C7AEC"/>
    <w:rsid w:val="002E1034"/>
    <w:rsid w:val="002E1DB5"/>
    <w:rsid w:val="002E3F2A"/>
    <w:rsid w:val="00327496"/>
    <w:rsid w:val="003349A7"/>
    <w:rsid w:val="003364AA"/>
    <w:rsid w:val="00343477"/>
    <w:rsid w:val="00355201"/>
    <w:rsid w:val="00374814"/>
    <w:rsid w:val="00376364"/>
    <w:rsid w:val="003A1202"/>
    <w:rsid w:val="003A79B3"/>
    <w:rsid w:val="003B28E4"/>
    <w:rsid w:val="003D4EE5"/>
    <w:rsid w:val="003F44AC"/>
    <w:rsid w:val="003F4EB7"/>
    <w:rsid w:val="003F6595"/>
    <w:rsid w:val="0040642E"/>
    <w:rsid w:val="004134E7"/>
    <w:rsid w:val="004258C8"/>
    <w:rsid w:val="00452410"/>
    <w:rsid w:val="00455DBF"/>
    <w:rsid w:val="004641D8"/>
    <w:rsid w:val="00464FE8"/>
    <w:rsid w:val="00480420"/>
    <w:rsid w:val="00485918"/>
    <w:rsid w:val="004F1FF0"/>
    <w:rsid w:val="00513C02"/>
    <w:rsid w:val="005248DE"/>
    <w:rsid w:val="00557506"/>
    <w:rsid w:val="005657C7"/>
    <w:rsid w:val="00567EFD"/>
    <w:rsid w:val="00575AEF"/>
    <w:rsid w:val="00591C08"/>
    <w:rsid w:val="005A716D"/>
    <w:rsid w:val="005B7EA3"/>
    <w:rsid w:val="005E3DA7"/>
    <w:rsid w:val="005E7C9C"/>
    <w:rsid w:val="005F7A94"/>
    <w:rsid w:val="00625757"/>
    <w:rsid w:val="00626E44"/>
    <w:rsid w:val="00635CD4"/>
    <w:rsid w:val="00660FF5"/>
    <w:rsid w:val="00671E4E"/>
    <w:rsid w:val="00682DA5"/>
    <w:rsid w:val="00686671"/>
    <w:rsid w:val="0069416A"/>
    <w:rsid w:val="006A2D04"/>
    <w:rsid w:val="006B004D"/>
    <w:rsid w:val="006B37F6"/>
    <w:rsid w:val="006C54DF"/>
    <w:rsid w:val="006D0B3F"/>
    <w:rsid w:val="006F57E9"/>
    <w:rsid w:val="006F58DB"/>
    <w:rsid w:val="00722DED"/>
    <w:rsid w:val="00735747"/>
    <w:rsid w:val="00751023"/>
    <w:rsid w:val="00753299"/>
    <w:rsid w:val="007609A6"/>
    <w:rsid w:val="00763FB7"/>
    <w:rsid w:val="0078378C"/>
    <w:rsid w:val="007A249B"/>
    <w:rsid w:val="007B2F5F"/>
    <w:rsid w:val="007D2CCD"/>
    <w:rsid w:val="008054F4"/>
    <w:rsid w:val="008618C4"/>
    <w:rsid w:val="00885BA3"/>
    <w:rsid w:val="008A4371"/>
    <w:rsid w:val="008A59E8"/>
    <w:rsid w:val="008A67FA"/>
    <w:rsid w:val="008B1BFB"/>
    <w:rsid w:val="008D099E"/>
    <w:rsid w:val="008F10BE"/>
    <w:rsid w:val="00900737"/>
    <w:rsid w:val="0090564B"/>
    <w:rsid w:val="0091078A"/>
    <w:rsid w:val="00926869"/>
    <w:rsid w:val="009335CE"/>
    <w:rsid w:val="00944424"/>
    <w:rsid w:val="00964928"/>
    <w:rsid w:val="00967820"/>
    <w:rsid w:val="009B5677"/>
    <w:rsid w:val="009B5E8E"/>
    <w:rsid w:val="009B6B96"/>
    <w:rsid w:val="009C225D"/>
    <w:rsid w:val="009C5A11"/>
    <w:rsid w:val="009F01A4"/>
    <w:rsid w:val="009F0B48"/>
    <w:rsid w:val="00A04E3F"/>
    <w:rsid w:val="00A07E6F"/>
    <w:rsid w:val="00A26481"/>
    <w:rsid w:val="00A365D8"/>
    <w:rsid w:val="00A82DCD"/>
    <w:rsid w:val="00AC0715"/>
    <w:rsid w:val="00AC342B"/>
    <w:rsid w:val="00AD779D"/>
    <w:rsid w:val="00B14064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C012B8"/>
    <w:rsid w:val="00C10C57"/>
    <w:rsid w:val="00C22F34"/>
    <w:rsid w:val="00C361AD"/>
    <w:rsid w:val="00C367C0"/>
    <w:rsid w:val="00C629BB"/>
    <w:rsid w:val="00C65A06"/>
    <w:rsid w:val="00C87292"/>
    <w:rsid w:val="00CB1CC6"/>
    <w:rsid w:val="00CB3816"/>
    <w:rsid w:val="00CB5C3E"/>
    <w:rsid w:val="00CF0371"/>
    <w:rsid w:val="00D03412"/>
    <w:rsid w:val="00D147FE"/>
    <w:rsid w:val="00D20E75"/>
    <w:rsid w:val="00D453CF"/>
    <w:rsid w:val="00D468EB"/>
    <w:rsid w:val="00D60333"/>
    <w:rsid w:val="00D631EE"/>
    <w:rsid w:val="00D85B9C"/>
    <w:rsid w:val="00D927A3"/>
    <w:rsid w:val="00DD1C75"/>
    <w:rsid w:val="00E279B7"/>
    <w:rsid w:val="00E32E5F"/>
    <w:rsid w:val="00E3311D"/>
    <w:rsid w:val="00EB2CB1"/>
    <w:rsid w:val="00EC2980"/>
    <w:rsid w:val="00EF2DD0"/>
    <w:rsid w:val="00EF7E4F"/>
    <w:rsid w:val="00F70443"/>
    <w:rsid w:val="00F73A45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A304B96-942A-485A-B0F3-F8A10647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8</cp:revision>
  <cp:lastPrinted>2021-06-29T04:32:00Z</cp:lastPrinted>
  <dcterms:created xsi:type="dcterms:W3CDTF">2021-09-28T06:41:00Z</dcterms:created>
  <dcterms:modified xsi:type="dcterms:W3CDTF">2022-04-07T08:40:00Z</dcterms:modified>
</cp:coreProperties>
</file>