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D7" w:rsidRDefault="006170D7" w:rsidP="00E52732">
      <w:pPr>
        <w:spacing w:line="1" w:lineRule="exact"/>
        <w:sectPr w:rsidR="006170D7">
          <w:pgSz w:w="11900" w:h="16840"/>
          <w:pgMar w:top="1405" w:right="271" w:bottom="1315" w:left="1511" w:header="0" w:footer="3" w:gutter="0"/>
          <w:pgNumType w:start="1"/>
          <w:cols w:space="720"/>
          <w:noEndnote/>
          <w:docGrid w:linePitch="360"/>
        </w:sectPr>
      </w:pPr>
    </w:p>
    <w:p w:rsidR="006170D7" w:rsidRDefault="007551B2" w:rsidP="00E52732">
      <w:pPr>
        <w:pStyle w:val="20"/>
        <w:spacing w:after="260"/>
        <w:ind w:left="0"/>
        <w:jc w:val="center"/>
      </w:pPr>
      <w:r>
        <w:t>КРИТЕРИИ</w:t>
      </w:r>
      <w:r>
        <w:br/>
        <w:t>оценки заявок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6634"/>
        <w:gridCol w:w="1704"/>
      </w:tblGrid>
      <w:tr w:rsidR="006170D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0D7" w:rsidRDefault="007551B2" w:rsidP="00E52732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0D7" w:rsidRDefault="007551B2" w:rsidP="00E52732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 оценки заявки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D7" w:rsidRDefault="007551B2" w:rsidP="00E52732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значимости критерия оценки заявки</w:t>
            </w:r>
          </w:p>
        </w:tc>
      </w:tr>
    </w:tbl>
    <w:p w:rsidR="006170D7" w:rsidRDefault="007551B2" w:rsidP="00E52732">
      <w:pPr>
        <w:pStyle w:val="a5"/>
        <w:tabs>
          <w:tab w:val="left" w:pos="8054"/>
        </w:tabs>
        <w:ind w:left="283"/>
      </w:pPr>
      <w:r>
        <w:t>1. Срок ведения участником конкурсного отбора личного</w:t>
      </w:r>
      <w:r>
        <w:tab/>
        <w:t>0,6</w:t>
      </w:r>
    </w:p>
    <w:p w:rsidR="006170D7" w:rsidRDefault="007551B2" w:rsidP="00E52732">
      <w:pPr>
        <w:pStyle w:val="20"/>
        <w:spacing w:after="160"/>
        <w:ind w:left="0" w:firstLine="820"/>
      </w:pPr>
      <w:r>
        <w:t xml:space="preserve">подсобного </w:t>
      </w:r>
      <w:r>
        <w:t>хозяйства</w:t>
      </w:r>
    </w:p>
    <w:p w:rsidR="006170D7" w:rsidRDefault="007551B2" w:rsidP="00E52732">
      <w:pPr>
        <w:pStyle w:val="20"/>
        <w:spacing w:after="220"/>
        <w:ind w:left="0" w:firstLine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12700</wp:posOffset>
                </wp:positionV>
                <wp:extent cx="21336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0D7" w:rsidRDefault="007551B2">
                            <w:pPr>
                              <w:pStyle w:val="20"/>
                              <w:spacing w:after="0"/>
                              <w:ind w:left="0"/>
                              <w:jc w:val="center"/>
                            </w:pPr>
                            <w:r>
                              <w:t>0,4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7.44999999999999pt;margin-top:1.pt;width:16.800000000000001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0,4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2. Площадь земельного участка (земельных участков) в границах</w:t>
      </w:r>
    </w:p>
    <w:p w:rsidR="006170D7" w:rsidRDefault="007551B2" w:rsidP="00E52732">
      <w:pPr>
        <w:pStyle w:val="20"/>
      </w:pPr>
      <w:r>
        <w:t>населенного пункта (приусадебного земельного участка) или за пределами границ населенного пункта (полевого земельного участка) на территории соответствующего муниципального обра</w:t>
      </w:r>
      <w:r>
        <w:t>зования края для ведения личного подсобного хозяйства, на который (которые) зарегистрировано право участника конкурсного отбора</w:t>
      </w:r>
    </w:p>
    <w:p w:rsidR="006170D7" w:rsidRDefault="007551B2" w:rsidP="00E52732">
      <w:pPr>
        <w:pStyle w:val="1"/>
        <w:ind w:firstLine="0"/>
      </w:pPr>
      <w:r>
        <w:t>Конкурсная комиссия оценивает заявки участников конкурсного отбора в соответствии с балльной шкалой критериев оценки заявок:</w:t>
      </w:r>
    </w:p>
    <w:p w:rsidR="006170D7" w:rsidRDefault="007551B2" w:rsidP="00E52732">
      <w:pPr>
        <w:pStyle w:val="1"/>
        <w:numPr>
          <w:ilvl w:val="0"/>
          <w:numId w:val="1"/>
        </w:numPr>
        <w:tabs>
          <w:tab w:val="left" w:pos="461"/>
        </w:tabs>
        <w:ind w:firstLine="0"/>
      </w:pPr>
      <w:r>
        <w:t>срок ведения участником конкурсного отбора личного подсобного хозяйства:</w:t>
      </w:r>
    </w:p>
    <w:p w:rsidR="006170D7" w:rsidRDefault="007551B2" w:rsidP="00E52732">
      <w:pPr>
        <w:pStyle w:val="1"/>
        <w:ind w:firstLine="0"/>
      </w:pPr>
      <w:r>
        <w:t>менее 1 года - 1 балл;</w:t>
      </w:r>
    </w:p>
    <w:p w:rsidR="006170D7" w:rsidRDefault="007551B2" w:rsidP="00E52732">
      <w:pPr>
        <w:pStyle w:val="1"/>
        <w:ind w:firstLine="0"/>
      </w:pPr>
      <w:r>
        <w:t>от 1 до 3 лет - 5 баллов;</w:t>
      </w:r>
    </w:p>
    <w:p w:rsidR="006170D7" w:rsidRDefault="007551B2" w:rsidP="00E52732">
      <w:pPr>
        <w:pStyle w:val="1"/>
        <w:ind w:firstLine="0"/>
      </w:pPr>
      <w:r>
        <w:t>от 3 до 6 лет - 10 баллов;</w:t>
      </w:r>
    </w:p>
    <w:p w:rsidR="006170D7" w:rsidRDefault="007551B2" w:rsidP="00E52732">
      <w:pPr>
        <w:pStyle w:val="1"/>
        <w:ind w:firstLine="0"/>
      </w:pPr>
      <w:r>
        <w:t>от 6 до 10 лет - 20 баллов;</w:t>
      </w:r>
    </w:p>
    <w:p w:rsidR="006170D7" w:rsidRDefault="007551B2" w:rsidP="00E52732">
      <w:pPr>
        <w:pStyle w:val="1"/>
        <w:ind w:firstLine="0"/>
      </w:pPr>
      <w:r>
        <w:t>от 10 лет - 30 баллов;</w:t>
      </w:r>
    </w:p>
    <w:p w:rsidR="006170D7" w:rsidRDefault="007551B2" w:rsidP="00E52732">
      <w:pPr>
        <w:pStyle w:val="1"/>
        <w:numPr>
          <w:ilvl w:val="0"/>
          <w:numId w:val="1"/>
        </w:numPr>
        <w:tabs>
          <w:tab w:val="left" w:pos="461"/>
        </w:tabs>
        <w:ind w:firstLine="0"/>
      </w:pPr>
      <w:r>
        <w:t>площадь земельного участка (земельных участков) в границ</w:t>
      </w:r>
      <w:r>
        <w:t xml:space="preserve">ах населенного пункта (приусадебного земельного участка) или за пределами границ населенного пункта (полевого земельного участка) на территории соответствующего муниципального образования края для ведения личного подсобного хозяйства, на который (которые) </w:t>
      </w:r>
      <w:r>
        <w:t>зарегистрировано право участника конкурсного отбора:</w:t>
      </w:r>
    </w:p>
    <w:p w:rsidR="006170D7" w:rsidRDefault="007551B2" w:rsidP="00E52732">
      <w:pPr>
        <w:pStyle w:val="1"/>
        <w:ind w:firstLine="0"/>
      </w:pPr>
      <w:r>
        <w:t>от 0,1 до 0,15 га - 10 баллов;</w:t>
      </w:r>
    </w:p>
    <w:p w:rsidR="006170D7" w:rsidRDefault="007551B2" w:rsidP="00E52732">
      <w:pPr>
        <w:pStyle w:val="1"/>
        <w:ind w:firstLine="0"/>
      </w:pPr>
      <w:r>
        <w:t>от 0,15 до 0,20 га - 12 баллов;</w:t>
      </w:r>
    </w:p>
    <w:p w:rsidR="006170D7" w:rsidRDefault="007551B2" w:rsidP="00E52732">
      <w:pPr>
        <w:pStyle w:val="1"/>
        <w:ind w:firstLine="0"/>
      </w:pPr>
      <w:r>
        <w:t>от 0,20 до 0,25 га - 15 баллов;</w:t>
      </w:r>
    </w:p>
    <w:p w:rsidR="006170D7" w:rsidRDefault="007551B2" w:rsidP="00E52732">
      <w:pPr>
        <w:pStyle w:val="1"/>
        <w:ind w:firstLine="0"/>
      </w:pPr>
      <w:r>
        <w:t>от 0,25 по 0,50 га - 17 баллов.</w:t>
      </w:r>
    </w:p>
    <w:p w:rsidR="006170D7" w:rsidRDefault="007551B2" w:rsidP="00E52732">
      <w:pPr>
        <w:pStyle w:val="1"/>
        <w:ind w:firstLine="640"/>
      </w:pPr>
      <w:r>
        <w:t xml:space="preserve">Итоговая оценка заявки каждого участника конкурсного отбора </w:t>
      </w:r>
      <w:r>
        <w:lastRenderedPageBreak/>
        <w:t>рассчитывается к</w:t>
      </w:r>
      <w:r>
        <w:t>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(далее - итоговая оценка).</w:t>
      </w:r>
    </w:p>
    <w:p w:rsidR="006170D7" w:rsidRDefault="007551B2" w:rsidP="00E52732">
      <w:pPr>
        <w:pStyle w:val="1"/>
        <w:ind w:firstLine="580"/>
      </w:pPr>
      <w:r>
        <w:t>Итоговая оценка определяет место участника</w:t>
      </w:r>
      <w:r>
        <w:t xml:space="preserve"> конкурсного отбора по отношению к другим участникам конкурсного отбора с присвоением ему порядкового номера. Первое место присваивается участнику конкурсного отбора, заявка которого получила наибольшую итоговую оценку, второе и последующие места присваива</w:t>
      </w:r>
      <w:r>
        <w:t>ются участникам конкурсного отбора в порядке уменьшения полученных ими итоговых оценок.</w:t>
      </w:r>
    </w:p>
    <w:p w:rsidR="006170D7" w:rsidRDefault="007551B2" w:rsidP="00E52732">
      <w:pPr>
        <w:pStyle w:val="1"/>
        <w:ind w:firstLine="580"/>
      </w:pPr>
      <w:r>
        <w:t xml:space="preserve">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</w:t>
      </w:r>
      <w:r>
        <w:t>хозяйства.</w:t>
      </w:r>
    </w:p>
    <w:p w:rsidR="006170D7" w:rsidRDefault="007551B2" w:rsidP="00E52732">
      <w:pPr>
        <w:pStyle w:val="1"/>
        <w:ind w:firstLine="580"/>
      </w:pPr>
      <w:r>
        <w:t>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(далее - рейтинг заявок).</w:t>
      </w:r>
    </w:p>
    <w:p w:rsidR="006170D7" w:rsidRDefault="007551B2" w:rsidP="00E52732">
      <w:pPr>
        <w:pStyle w:val="1"/>
        <w:ind w:firstLine="580"/>
      </w:pPr>
      <w:r>
        <w:t>Документы, предусмотренные пунктом 11 Порядка, пр</w:t>
      </w:r>
      <w:r>
        <w:t>едставляются заявителем в орган местного самоуправления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заявок, указанной в объявлении о пр</w:t>
      </w:r>
      <w:r>
        <w:t>оведении конкурсного отбора.</w:t>
      </w:r>
    </w:p>
    <w:p w:rsidR="006170D7" w:rsidRDefault="007551B2" w:rsidP="00E52732">
      <w:pPr>
        <w:pStyle w:val="1"/>
        <w:ind w:firstLine="580"/>
      </w:pPr>
      <w:r>
        <w:t>Заявитель для участия в конкурсном отборе может подать только одну заявку, включающую в себя один план расходов.</w:t>
      </w:r>
    </w:p>
    <w:p w:rsidR="006170D7" w:rsidRDefault="007551B2" w:rsidP="00E52732">
      <w:pPr>
        <w:pStyle w:val="1"/>
        <w:ind w:firstLine="580"/>
      </w:pPr>
      <w:r>
        <w:t xml:space="preserve">Заявка может быть отозвана заявителем до даты окончания приема заявок, указанной в объявлении о проведении </w:t>
      </w:r>
      <w:r>
        <w:t>конкурсного отбора, путем направления заявителем в орган местного самоуправления соответствующего обращения.</w:t>
      </w:r>
    </w:p>
    <w:p w:rsidR="006170D7" w:rsidRDefault="007551B2" w:rsidP="00E52732">
      <w:pPr>
        <w:pStyle w:val="1"/>
        <w:ind w:firstLine="580"/>
      </w:pPr>
      <w:r>
        <w:t>Заявитель, отозвавший заявку, вправе повторно представить заявку до даты окончания приема заявок, указанной в объявлении о проведении конкурсного о</w:t>
      </w:r>
      <w:r>
        <w:t>тбора.</w:t>
      </w:r>
    </w:p>
    <w:p w:rsidR="006170D7" w:rsidRDefault="007551B2" w:rsidP="00E52732">
      <w:pPr>
        <w:pStyle w:val="1"/>
        <w:ind w:firstLine="580"/>
      </w:pPr>
      <w:r>
        <w:t>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самоуправления, до даты окончания прие</w:t>
      </w:r>
      <w:r>
        <w:t>ма заявок, указанной в объявлении о проведении конкурсного отбора.</w:t>
      </w:r>
    </w:p>
    <w:p w:rsidR="006170D7" w:rsidRDefault="007551B2" w:rsidP="00E52732">
      <w:pPr>
        <w:pStyle w:val="1"/>
        <w:ind w:firstLine="580"/>
      </w:pPr>
      <w:r>
        <w:t xml:space="preserve">Возврат органом местного самоуправления заявок, в том числе возврат заявок на доработку, не осуществляется, за исключением случая, внесения заявителем </w:t>
      </w:r>
      <w:r>
        <w:lastRenderedPageBreak/>
        <w:t>изменений в заявку.</w:t>
      </w:r>
    </w:p>
    <w:p w:rsidR="006170D7" w:rsidRDefault="007551B2" w:rsidP="00E52732">
      <w:pPr>
        <w:pStyle w:val="1"/>
        <w:ind w:firstLine="620"/>
      </w:pPr>
      <w:r>
        <w:t>Возврат отозванной</w:t>
      </w:r>
      <w:r>
        <w:t xml:space="preserve">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отзыве.</w:t>
      </w:r>
    </w:p>
    <w:p w:rsidR="006170D7" w:rsidRDefault="007551B2" w:rsidP="00E52732">
      <w:pPr>
        <w:pStyle w:val="1"/>
        <w:ind w:firstLine="620"/>
      </w:pPr>
      <w:r>
        <w:t>Заявитель не позднее 3 рабочих дней до даты окончания срока приема заявок, указанной в объ</w:t>
      </w:r>
      <w:r>
        <w:t>явлении о проведении конкурсного отбора, вправе направить в орган местного самоуправления не более 3 письменных запросов о разъяснении положений объявления о проведении конкурсного отбора (далее - запрос).</w:t>
      </w:r>
    </w:p>
    <w:p w:rsidR="006170D7" w:rsidRDefault="007551B2" w:rsidP="00E52732">
      <w:pPr>
        <w:pStyle w:val="1"/>
        <w:ind w:firstLine="620"/>
      </w:pPr>
      <w:r>
        <w:t xml:space="preserve">Основаниями для принятия органом местного </w:t>
      </w:r>
      <w:r>
        <w:t>самоуправления решения об отклонении заявки от участия в конкурсном отборе являются:</w:t>
      </w:r>
    </w:p>
    <w:p w:rsidR="006170D7" w:rsidRDefault="007551B2" w:rsidP="00E52732">
      <w:pPr>
        <w:pStyle w:val="1"/>
        <w:numPr>
          <w:ilvl w:val="0"/>
          <w:numId w:val="2"/>
        </w:numPr>
        <w:tabs>
          <w:tab w:val="left" w:pos="648"/>
        </w:tabs>
        <w:ind w:firstLine="0"/>
      </w:pPr>
      <w:r>
        <w:t>несоответствие заявителя требованиям, предусмотренным пунктом 10, пунктом 11 Порядка, и документов, содержащих сведения, указанные в абзацах втором и третьем пункта 16 Пор</w:t>
      </w:r>
      <w:r>
        <w:t>ядка, требованиям, установленным к ним в объявлении о проведении конкурсного отбора;</w:t>
      </w:r>
    </w:p>
    <w:p w:rsidR="006170D7" w:rsidRDefault="007551B2" w:rsidP="00E52732">
      <w:pPr>
        <w:pStyle w:val="1"/>
        <w:numPr>
          <w:ilvl w:val="0"/>
          <w:numId w:val="2"/>
        </w:numPr>
        <w:tabs>
          <w:tab w:val="left" w:pos="648"/>
        </w:tabs>
        <w:ind w:firstLine="0"/>
      </w:pPr>
      <w:r>
        <w:t>недостоверность информации, содержащейся в документах, предусмотренных пунктом 11 настоящего Порядка, и документах, содержащих сведения, указанные в абзацах втором и треть</w:t>
      </w:r>
      <w:r>
        <w:t>ем пункта 16 Порядка, представленных заявителем в целях подтверждения его соответствия требованиям, установленным Порядком;</w:t>
      </w:r>
    </w:p>
    <w:p w:rsidR="006170D7" w:rsidRDefault="007551B2" w:rsidP="00E52732">
      <w:pPr>
        <w:pStyle w:val="1"/>
        <w:numPr>
          <w:ilvl w:val="0"/>
          <w:numId w:val="2"/>
        </w:numPr>
        <w:tabs>
          <w:tab w:val="left" w:pos="648"/>
        </w:tabs>
        <w:ind w:firstLine="0"/>
      </w:pPr>
      <w:r>
        <w:t>подача заявителем заявки после даты и (или) времени, определенных для подачи заявок в объявлении о проведении конкурсного отбора;</w:t>
      </w:r>
    </w:p>
    <w:p w:rsidR="006170D7" w:rsidRDefault="007551B2" w:rsidP="00E52732">
      <w:pPr>
        <w:pStyle w:val="1"/>
        <w:numPr>
          <w:ilvl w:val="0"/>
          <w:numId w:val="2"/>
        </w:numPr>
        <w:tabs>
          <w:tab w:val="left" w:pos="648"/>
        </w:tabs>
        <w:ind w:firstLine="0"/>
      </w:pPr>
      <w:r>
        <w:t>не</w:t>
      </w:r>
      <w:r>
        <w:t>соответствие заявителя категориям, предусмотренным пунктом 2 Порядка;</w:t>
      </w:r>
    </w:p>
    <w:p w:rsidR="006170D7" w:rsidRDefault="007551B2" w:rsidP="00E52732">
      <w:pPr>
        <w:pStyle w:val="1"/>
        <w:numPr>
          <w:ilvl w:val="0"/>
          <w:numId w:val="2"/>
        </w:numPr>
        <w:tabs>
          <w:tab w:val="left" w:pos="648"/>
        </w:tabs>
        <w:ind w:firstLine="0"/>
      </w:pPr>
      <w:r>
        <w:t>непредставление (представление не в полном объеме) заявителем документов, указанных в объявлении о проведении конкурсного отбора, предусмотренных пунктом 11 Порядка.</w:t>
      </w:r>
    </w:p>
    <w:p w:rsidR="006170D7" w:rsidRDefault="007551B2" w:rsidP="00E52732">
      <w:pPr>
        <w:pStyle w:val="1"/>
        <w:ind w:firstLine="620"/>
      </w:pPr>
      <w:r>
        <w:t>В случае принятия ор</w:t>
      </w:r>
      <w:r>
        <w:t>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</w:t>
      </w:r>
      <w:r>
        <w:t>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способом, подтверждающим факт и дату получения.</w:t>
      </w:r>
    </w:p>
    <w:p w:rsidR="006170D7" w:rsidRDefault="007551B2" w:rsidP="00E52732">
      <w:pPr>
        <w:pStyle w:val="1"/>
        <w:ind w:firstLine="620"/>
      </w:pPr>
      <w:r>
        <w:t>Документы, предусмотренные пунктом</w:t>
      </w:r>
      <w:r>
        <w:t xml:space="preserve"> 11 Порядка, и документы, содержащие сведения, указанные в абзацах втором и третьем пункта 1 Порядка, могут быть направлены заявителем в орган местного самоуправления в форме электронных документов в порядке, установленном постановлением Правительства Росс</w:t>
      </w:r>
      <w:r>
        <w:t xml:space="preserve">ийской </w:t>
      </w:r>
      <w:r>
        <w:lastRenderedPageBreak/>
        <w:t>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170D7" w:rsidRDefault="007551B2" w:rsidP="00E52732">
      <w:pPr>
        <w:pStyle w:val="1"/>
        <w:ind w:firstLine="620"/>
      </w:pPr>
      <w:r>
        <w:t>Орган местного самоуправления в течение</w:t>
      </w:r>
      <w:r>
        <w:t xml:space="preserve"> 5 рабочих дней после даты окончания приема заявок, указанной в объявлении о проведении конкурсного отбора, рассматривает документы, предусмотренные пунктом 11 Порядка, и документы, содержащие сведения, указанные в абзацах втором и третьем пункта 16 Порядк</w:t>
      </w:r>
      <w:r>
        <w:t>а, на предмет их соответствия требованиям, указанным в объявлении о проведении конкурсного отбора, и по результатам их рассмотрения принимает одно из следующих решений:</w:t>
      </w:r>
    </w:p>
    <w:p w:rsidR="006170D7" w:rsidRDefault="007551B2" w:rsidP="00E52732">
      <w:pPr>
        <w:pStyle w:val="1"/>
        <w:numPr>
          <w:ilvl w:val="0"/>
          <w:numId w:val="3"/>
        </w:numPr>
        <w:tabs>
          <w:tab w:val="left" w:pos="389"/>
        </w:tabs>
        <w:ind w:firstLine="0"/>
      </w:pPr>
      <w:r>
        <w:t>о допуске заявки к участию в конкурсном отборе;</w:t>
      </w:r>
    </w:p>
    <w:p w:rsidR="006170D7" w:rsidRDefault="007551B2" w:rsidP="00E52732">
      <w:pPr>
        <w:pStyle w:val="1"/>
        <w:numPr>
          <w:ilvl w:val="0"/>
          <w:numId w:val="3"/>
        </w:numPr>
        <w:tabs>
          <w:tab w:val="left" w:pos="389"/>
        </w:tabs>
        <w:ind w:firstLine="0"/>
      </w:pPr>
      <w:r>
        <w:t>об отклонении заявки от участия в конку</w:t>
      </w:r>
      <w:r>
        <w:t>рсном отборе.</w:t>
      </w:r>
    </w:p>
    <w:p w:rsidR="006170D7" w:rsidRDefault="007551B2" w:rsidP="00E52732">
      <w:pPr>
        <w:pStyle w:val="1"/>
        <w:ind w:firstLine="500"/>
      </w:pPr>
      <w:r>
        <w:t>Основаниями для принятия органом местного самоуправления решения об отклонении заявки от участия в конкурсном отборе являются: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389"/>
        </w:tabs>
        <w:ind w:firstLine="0"/>
      </w:pPr>
      <w:r>
        <w:t>несоответствие заявителя требованиям, предусмотренным пунктом 10 Порядка;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389"/>
        </w:tabs>
        <w:ind w:firstLine="0"/>
      </w:pPr>
      <w:r>
        <w:t xml:space="preserve">несоответствие представленных заявителем </w:t>
      </w:r>
      <w:r>
        <w:t>документов, предусмотренных пунктом 11 Порядка, и документов, содержащих сведения, указанные в абзацах втором и третьем пункта 16 Порядка, требованиям, установленным к ним в объявлении о проведении конкурсного отбора;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389"/>
        </w:tabs>
        <w:ind w:firstLine="0"/>
      </w:pPr>
      <w:r>
        <w:t>недостоверность информации, содержащей</w:t>
      </w:r>
      <w:r>
        <w:t>ся в документах, предусмотренных пунктом 11 Порядка, и документах, содержащих сведения, указанные в абзацах втором и третьем пункта 16 Порядка, представленных заявителем в целях подтверждения его соответствия требованиям, установленным настоящим Порядком;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389"/>
        </w:tabs>
        <w:ind w:firstLine="0"/>
      </w:pPr>
      <w:r>
        <w:t>подача заявителем заявки после даты и (или) времени, определенных для подачи заявок в объявлении о проведении конкурсного отбора;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389"/>
        </w:tabs>
        <w:ind w:firstLine="0"/>
      </w:pPr>
      <w:r>
        <w:t>несоответствие заявителя категориям, предусмотренным пунктом 2 Порядка;</w:t>
      </w:r>
    </w:p>
    <w:p w:rsidR="006170D7" w:rsidRDefault="007551B2" w:rsidP="00E52732">
      <w:pPr>
        <w:pStyle w:val="1"/>
        <w:numPr>
          <w:ilvl w:val="0"/>
          <w:numId w:val="4"/>
        </w:numPr>
        <w:tabs>
          <w:tab w:val="left" w:pos="432"/>
        </w:tabs>
        <w:ind w:firstLine="0"/>
      </w:pPr>
      <w:r>
        <w:t>непредставление (представление не в полном объеме) зая</w:t>
      </w:r>
      <w:r>
        <w:t>вителем документов, указанных в объявлении о проведении конкурсного отбора, предусмотренных пунктом 11 Порядка.</w:t>
      </w:r>
    </w:p>
    <w:p w:rsidR="006170D7" w:rsidRDefault="007551B2" w:rsidP="00E52732">
      <w:pPr>
        <w:pStyle w:val="1"/>
        <w:ind w:firstLine="540"/>
      </w:pPr>
      <w:r>
        <w:t>В случае принятия органом местного самоуправления решения об отклонении заявки от участия в конкурсном отборе орган местного самоуправления в те</w:t>
      </w:r>
      <w:r>
        <w:t xml:space="preserve">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</w:t>
      </w:r>
      <w:r>
        <w:lastRenderedPageBreak/>
        <w:t>отклонении заявки от участия в конкурсном отборе с указанием причин отклонения заказным почтовым</w:t>
      </w:r>
      <w:r>
        <w:t xml:space="preserve"> отправлением с уведомлением о вручении либо иным способом, подтверждающим факт и дату получения.</w:t>
      </w:r>
    </w:p>
    <w:p w:rsidR="006170D7" w:rsidRDefault="007551B2" w:rsidP="00E52732">
      <w:pPr>
        <w:pStyle w:val="1"/>
        <w:ind w:firstLine="540"/>
      </w:pPr>
      <w:r>
        <w:t xml:space="preserve">Если по окончании срока приема заявок не зарегистрировано ни одной заявки, или все заявки отозваны заявителям, или органом местного самоуправления принято </w:t>
      </w:r>
      <w:r>
        <w:t>решение об отклонении всех заявок на участие в конкурсном отборе, конкурсный отбор признается несостоявшимся.</w:t>
      </w:r>
    </w:p>
    <w:p w:rsidR="006170D7" w:rsidRDefault="007551B2" w:rsidP="00E52732">
      <w:pPr>
        <w:pStyle w:val="1"/>
        <w:ind w:firstLine="540"/>
      </w:pPr>
      <w:r>
        <w:t>Информация о признании конкурсного отбора несостоявшимся размещается на официальном сайте.</w:t>
      </w:r>
    </w:p>
    <w:p w:rsidR="006170D7" w:rsidRDefault="007551B2" w:rsidP="00E52732">
      <w:pPr>
        <w:pStyle w:val="1"/>
        <w:ind w:firstLine="540"/>
      </w:pPr>
      <w:r>
        <w:t>Орган местного самоуправления может отменить конкурсный</w:t>
      </w:r>
      <w:r>
        <w:t xml:space="preserve"> отбор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170D7" w:rsidRDefault="007551B2" w:rsidP="00E52732">
      <w:pPr>
        <w:pStyle w:val="1"/>
        <w:ind w:firstLine="540"/>
      </w:pPr>
      <w:r>
        <w:t>Объявление об отмене конкурсного отбора размещается на официальном сайте, едином портале и содержит информацию о</w:t>
      </w:r>
      <w:r>
        <w:t xml:space="preserve"> причинах отмены конкурсного отбора.</w:t>
      </w:r>
    </w:p>
    <w:p w:rsidR="006170D7" w:rsidRDefault="007551B2" w:rsidP="00E52732">
      <w:pPr>
        <w:pStyle w:val="1"/>
        <w:ind w:firstLine="540"/>
      </w:pPr>
      <w:r>
        <w:t>Заявители, подавшие заявки, информируются об отмене конкурсного отбора в письменной форме по адресам, указанным в заявках.</w:t>
      </w:r>
    </w:p>
    <w:p w:rsidR="006170D7" w:rsidRDefault="007551B2" w:rsidP="00E52732">
      <w:pPr>
        <w:pStyle w:val="1"/>
        <w:ind w:firstLine="540"/>
      </w:pPr>
      <w:r>
        <w:t>Конкурсный отбор считается отмененным со дня размещения объявления о его отмене на едином портал</w:t>
      </w:r>
      <w:r>
        <w:t>е.</w:t>
      </w:r>
    </w:p>
    <w:p w:rsidR="006170D7" w:rsidRDefault="007551B2" w:rsidP="00E52732">
      <w:pPr>
        <w:pStyle w:val="1"/>
        <w:ind w:firstLine="540"/>
      </w:pPr>
      <w:r>
        <w:t>Оценка конкурсной комиссией документов, предусмотренных пунктом 11 Порядка, представленных заявителем, заявка которого допущена к участию в конкурсном отборе (далее - участник конкурсного отбора), и документов, содержащих сведения, указанные в абзацах в</w:t>
      </w:r>
      <w:r>
        <w:t>тором и третьем пункта 16 Порядка, в отношении участника конкурсного отбора, осуществляется в течение 5 рабочих дней со дня принятия решения о допуске заявки к участию в конкурсном отборе.</w:t>
      </w:r>
    </w:p>
    <w:p w:rsidR="006170D7" w:rsidRDefault="007551B2" w:rsidP="00E52732">
      <w:pPr>
        <w:pStyle w:val="1"/>
        <w:ind w:firstLine="567"/>
      </w:pPr>
      <w:r>
        <w:t xml:space="preserve">Конкурсная комиссия оценивает заявки участников конкурсного отбора </w:t>
      </w:r>
      <w:r>
        <w:t>в соответствии с критериями оценки заявок на участие в конкурсном отборе.</w:t>
      </w:r>
    </w:p>
    <w:p w:rsidR="006170D7" w:rsidRDefault="007551B2" w:rsidP="00E52732">
      <w:pPr>
        <w:pStyle w:val="1"/>
        <w:ind w:firstLine="567"/>
      </w:pPr>
      <w:r>
        <w:t xml:space="preserve">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</w:t>
      </w:r>
      <w:r>
        <w:t>коэффициента значимости критерия оценки заявки по каждому критерию оценки заявки (далее - итоговая оценка).</w:t>
      </w:r>
    </w:p>
    <w:p w:rsidR="006170D7" w:rsidRDefault="007551B2" w:rsidP="00E52732">
      <w:pPr>
        <w:pStyle w:val="1"/>
        <w:ind w:firstLine="709"/>
      </w:pPr>
      <w:r>
        <w:t>Итоговая оценка определяет место участника конкурсного отбора по отношению к другим участникам конкурсного отбора с присвоением ему порядкового номе</w:t>
      </w:r>
      <w:r>
        <w:t xml:space="preserve">ра. Первое место присваивается участнику конкурсного отбора, заявка которого получила наибольшую итоговую оценку, второе и последующие </w:t>
      </w:r>
      <w:r>
        <w:lastRenderedPageBreak/>
        <w:t>места присваиваются участникам конкурсного отбора в порядке уменьшения полученных ими итоговых оценок.</w:t>
      </w:r>
    </w:p>
    <w:p w:rsidR="006170D7" w:rsidRDefault="007551B2" w:rsidP="00E52732">
      <w:pPr>
        <w:pStyle w:val="1"/>
        <w:ind w:firstLine="709"/>
      </w:pPr>
      <w:r>
        <w:t>При равенстве итог</w:t>
      </w:r>
      <w:r>
        <w:t>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хозяйства.</w:t>
      </w:r>
    </w:p>
    <w:p w:rsidR="006170D7" w:rsidRDefault="007551B2" w:rsidP="00E52732">
      <w:pPr>
        <w:pStyle w:val="1"/>
        <w:ind w:firstLine="709"/>
      </w:pPr>
      <w:r>
        <w:t>Конкурсная комиссия в течение 3 рабочих дней со дня определения итоговых оценок формирует рейти</w:t>
      </w:r>
      <w:r>
        <w:t>нг заявок участников конкурсного отбора в порядке убывания итоговых оценок (далее - рейтинг заявок).</w:t>
      </w:r>
    </w:p>
    <w:p w:rsidR="006170D7" w:rsidRDefault="007551B2" w:rsidP="00E52732">
      <w:pPr>
        <w:pStyle w:val="1"/>
        <w:ind w:firstLine="709"/>
      </w:pPr>
      <w:r>
        <w:t>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</w:t>
      </w:r>
      <w:r>
        <w:t>редств краевого бюджета и лимитов бюджетных обязательств, указанных в пункте 3 Порядка , а также размера гранта, указанного в пункте 2 Порядка , и оформляет протокол заседания конкурсной комиссии (далее - победитель конкурсного отбора).</w:t>
      </w:r>
    </w:p>
    <w:p w:rsidR="006170D7" w:rsidRDefault="007551B2" w:rsidP="00E52732">
      <w:pPr>
        <w:pStyle w:val="1"/>
        <w:ind w:firstLine="709"/>
      </w:pPr>
      <w:r>
        <w:t>Заявитель не поздне</w:t>
      </w:r>
      <w:r>
        <w:t>е 3 рабочих дней до даты окончания срока приема заявок, указанной в объявлении о проведении конкурсного отбора, вправе направить в орган местного самоуправления не более 3 письменных запросов о разъяснении положений объявления о проведении конкурсного отбо</w:t>
      </w:r>
      <w:r>
        <w:t>ра.</w:t>
      </w:r>
    </w:p>
    <w:p w:rsidR="006170D7" w:rsidRDefault="007551B2" w:rsidP="00E52732">
      <w:pPr>
        <w:pStyle w:val="1"/>
        <w:ind w:firstLine="709"/>
      </w:pPr>
      <w:r>
        <w:t>Орган местного самоуправления направляет заявителю, направившему запрос, письменное разъяснение положений объявления о проведении конкурсного отбора в течение 2 рабочих дней со дня его поступления в орган местного самоуправления, но не позднее 1 рабоче</w:t>
      </w:r>
      <w:r>
        <w:t>го дня до даты окончания приема заявок, указанной в объявлении о проведении конкурсного отбора, заказным почтовым отправлением с уведомлением о вручении либо иным способом, подтверждающим факт и дату получения. Разъяснение положений</w:t>
      </w:r>
      <w:r w:rsidR="00E52732">
        <w:t xml:space="preserve"> </w:t>
      </w:r>
      <w:r>
        <w:t>объявления о проведении</w:t>
      </w:r>
      <w:r>
        <w:t xml:space="preserve"> конкурсного отбора не может изменять суть информации, содержащейся в объявлении о проведении конкурсного отбора.</w:t>
      </w:r>
    </w:p>
    <w:p w:rsidR="006170D7" w:rsidRDefault="007551B2" w:rsidP="00E52732">
      <w:pPr>
        <w:pStyle w:val="1"/>
        <w:ind w:firstLine="709"/>
      </w:pPr>
      <w:r>
        <w:t>Получатель в течение 2 рабочих дней со дня получения уведомления о заключении соглашения заключает с органом местного самоуправления соглашени</w:t>
      </w:r>
      <w:r>
        <w:t>е и направляет его в орган местного самоуправления или извещает орган местного самоуправления об отказе от заключения соглашения.</w:t>
      </w:r>
    </w:p>
    <w:p w:rsidR="006170D7" w:rsidRDefault="007551B2" w:rsidP="00E52732">
      <w:pPr>
        <w:pStyle w:val="1"/>
        <w:ind w:firstLine="567"/>
      </w:pPr>
      <w:r>
        <w:t>Получатель признается уклонившимся от заключения соглашения, если в течение 2 рабочих дней со дня получения уведомления о закл</w:t>
      </w:r>
      <w:r>
        <w:t>ючении соглашения не подписал и не направил в орган местного самоуправления соглашение.</w:t>
      </w:r>
    </w:p>
    <w:p w:rsidR="006170D7" w:rsidRDefault="007551B2" w:rsidP="00E52732">
      <w:pPr>
        <w:pStyle w:val="1"/>
        <w:ind w:firstLine="567"/>
      </w:pPr>
      <w:r>
        <w:t>Орган местного самоуправления в течение 2 рабочих дней со дня получения соглашения, подписанного получателем, заключает с ним соглашение.</w:t>
      </w:r>
    </w:p>
    <w:p w:rsidR="006170D7" w:rsidRDefault="007551B2" w:rsidP="00E52732">
      <w:pPr>
        <w:pStyle w:val="1"/>
        <w:ind w:firstLine="567"/>
      </w:pPr>
      <w:r>
        <w:lastRenderedPageBreak/>
        <w:t>Предоставление гранта осуществ</w:t>
      </w:r>
      <w:r>
        <w:t>ляется органом местного самоуправления в пределах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гранта, и лимитов бюджетных обязательств, указанных в п</w:t>
      </w:r>
      <w:r>
        <w:t>ункте 3 Порядка.</w:t>
      </w:r>
    </w:p>
    <w:p w:rsidR="006170D7" w:rsidRDefault="006170D7" w:rsidP="00E52732">
      <w:pPr>
        <w:pStyle w:val="1"/>
        <w:ind w:firstLine="0"/>
      </w:pPr>
    </w:p>
    <w:sectPr w:rsidR="006170D7">
      <w:type w:val="continuous"/>
      <w:pgSz w:w="11900" w:h="16840"/>
      <w:pgMar w:top="1405" w:right="271" w:bottom="1315" w:left="1511" w:header="977" w:footer="8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B2" w:rsidRDefault="007551B2">
      <w:r>
        <w:separator/>
      </w:r>
    </w:p>
  </w:endnote>
  <w:endnote w:type="continuationSeparator" w:id="0">
    <w:p w:rsidR="007551B2" w:rsidRDefault="007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B2" w:rsidRDefault="007551B2"/>
  </w:footnote>
  <w:footnote w:type="continuationSeparator" w:id="0">
    <w:p w:rsidR="007551B2" w:rsidRDefault="007551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16F"/>
    <w:multiLevelType w:val="multilevel"/>
    <w:tmpl w:val="8FB22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D2B39"/>
    <w:multiLevelType w:val="multilevel"/>
    <w:tmpl w:val="C13A5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837C3"/>
    <w:multiLevelType w:val="multilevel"/>
    <w:tmpl w:val="FF8C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2941D1"/>
    <w:multiLevelType w:val="multilevel"/>
    <w:tmpl w:val="7E065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D7"/>
    <w:rsid w:val="006170D7"/>
    <w:rsid w:val="007551B2"/>
    <w:rsid w:val="00E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18AB-18AC-48DD-BF57-84B45EB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80"/>
      <w:ind w:left="8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1974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Бибаев</cp:lastModifiedBy>
  <cp:revision>2</cp:revision>
  <dcterms:created xsi:type="dcterms:W3CDTF">2024-10-22T13:15:00Z</dcterms:created>
  <dcterms:modified xsi:type="dcterms:W3CDTF">2024-10-22T13:21:00Z</dcterms:modified>
</cp:coreProperties>
</file>